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8C" w:rsidRDefault="000A6F1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-287020</wp:posOffset>
            </wp:positionH>
            <wp:positionV relativeFrom="paragraph">
              <wp:posOffset>-74930</wp:posOffset>
            </wp:positionV>
            <wp:extent cx="5943600" cy="4612005"/>
            <wp:effectExtent l="0" t="0" r="0" b="0"/>
            <wp:wrapNone/>
            <wp:docPr id="10" name="Объект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15370" cy="5905020"/>
                      <a:chOff x="285720" y="428604"/>
                      <a:chExt cx="8215370" cy="5905020"/>
                    </a:xfrm>
                  </a:grpSpPr>
                  <a:pic>
                    <a:nvPicPr>
                      <a:cNvPr id="4" name="Рисунок 3" descr="a85dc12ba75a7ce729f975e0cd688298.jpg"/>
                      <a:cNvPicPr>
                        <a:picLocks noChangeAspect="1"/>
                      </a:cNvPicPr>
                    </a:nvPicPr>
                    <a:blipFill>
                      <a:blip r:embed="rId6"/>
                      <a:stretch>
                        <a:fillRect/>
                      </a:stretch>
                    </a:blipFill>
                    <a:spPr>
                      <a:xfrm>
                        <a:off x="1500165" y="3000372"/>
                        <a:ext cx="5703961" cy="3333252"/>
                      </a:xfrm>
                      <a:prstGeom prst="rect">
                        <a:avLst/>
                      </a:prstGeom>
                      <a:ln w="19050">
                        <a:solidFill>
                          <a:srgbClr val="00B0F0"/>
                        </a:solidFill>
                      </a:ln>
                    </a:spPr>
                  </a:pic>
                  <a:sp>
                    <a:nvSpPr>
                      <a:cNvPr id="22529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285720" y="1000108"/>
                        <a:ext cx="8215370" cy="189282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450850" algn="just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3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Киевская Русь IX-XII веков – огромное феодальное государство, раскинувшееся от Балтики до Черного моря и от Западного Буга до Волги.</a:t>
                          </a:r>
                          <a:endParaRPr kumimoji="0" lang="ru-RU" sz="6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450850" algn="just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3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Основателями Киева летописная легенда считает правителей племени полян – братьев Кия, Щека и Хорива. По данным археологических раскопок, проводившихся в Киеве в XIX–XX веке, уже в середине I тысячелетия н.э. на месте Киева существовало поселение.</a:t>
                          </a:r>
                          <a:endParaRPr kumimoji="0" lang="ru-RU" sz="6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450850" algn="just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3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Киевская Русь – одно из самых больших государств средневековой Европы – сложилось в IX в. в результате длительного внутреннего развития восточнославянских племен. Ее историческим ядром было Среднее </a:t>
                          </a:r>
                          <a:r>
                            <a:rPr kumimoji="0" lang="ru-RU" sz="1300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Поднепровье</a:t>
                          </a:r>
                          <a:r>
                            <a:rPr kumimoji="0" lang="ru-RU" sz="13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, где очень рано зародились новые социальные явления, характерные для классового общества.</a:t>
                          </a:r>
                          <a:endParaRPr kumimoji="0" lang="ru-RU" sz="18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" name="Прямоугольник 6"/>
                      <a:cNvSpPr/>
                    </a:nvSpPr>
                    <a:spPr>
                      <a:xfrm>
                        <a:off x="3071802" y="428604"/>
                        <a:ext cx="2928958" cy="46166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spcBef>
                              <a:spcPts val="0"/>
                            </a:spcBef>
                            <a:buNone/>
                          </a:pPr>
                          <a:r>
                            <a:rPr lang="ru-RU" sz="2400" b="1" spc="50" dirty="0" smtClean="0">
                              <a:ln w="11430"/>
                              <a:gradFill>
                                <a:gsLst>
                                  <a:gs pos="25000">
                                    <a:schemeClr val="accent2">
                                      <a:satMod val="155000"/>
                                    </a:schemeClr>
                                  </a:gs>
                                  <a:gs pos="100000">
                                    <a:schemeClr val="accent2">
                                      <a:shade val="45000"/>
                                      <a:satMod val="165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outerShdw blurRad="76200" dist="50800" dir="5400000" algn="tl" rotWithShape="0">
                                  <a:srgbClr val="000000">
                                    <a:alpha val="65000"/>
                                  </a:srgbClr>
                                </a:outerShdw>
                              </a:effectLst>
                            </a:rPr>
                            <a:t>Киевская Русь </a:t>
                          </a:r>
                          <a:endParaRPr lang="ru-RU" sz="2400" b="1" spc="50" dirty="0">
                            <a:ln w="11430"/>
                            <a:gradFill>
                              <a:gsLst>
                                <a:gs pos="25000">
                                  <a:schemeClr val="accent2">
                                    <a:satMod val="155000"/>
                                  </a:schemeClr>
                                </a:gs>
                                <a:gs pos="100000">
                                  <a:schemeClr val="accent2">
                                    <a:shade val="45000"/>
                                    <a:satMod val="165000"/>
                                  </a:schemeClr>
                                </a:gs>
                              </a:gsLst>
                              <a:lin ang="5400000"/>
                            </a:gradFill>
                            <a:effectLst>
                              <a:outerShdw blurRad="76200" dist="50800" dir="5400000" algn="tl" rotWithShape="0">
                                <a:srgbClr val="000000">
                                  <a:alpha val="65000"/>
                                </a:srgbClr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E5208C" w:rsidRDefault="00E5208C">
      <w:r w:rsidRPr="00E5208C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-267710</wp:posOffset>
            </wp:positionH>
            <wp:positionV relativeFrom="paragraph">
              <wp:posOffset>4282216</wp:posOffset>
            </wp:positionV>
            <wp:extent cx="6032127" cy="4881282"/>
            <wp:effectExtent l="19050" t="0" r="6723" b="0"/>
            <wp:wrapNone/>
            <wp:docPr id="11" name="Объект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17404" cy="6737707"/>
                      <a:chOff x="357158" y="0"/>
                      <a:chExt cx="8517404" cy="6737707"/>
                    </a:xfrm>
                  </a:grpSpPr>
                  <a:sp>
                    <a:nvSpPr>
                      <a:cNvPr id="2" name="Заголовок 1"/>
                      <a:cNvSpPr>
                        <a:spLocks noGrp="1"/>
                      </a:cNvSpPr>
                    </a:nvSpPr>
                    <a:spPr>
                      <a:xfrm>
                        <a:off x="2071670" y="0"/>
                        <a:ext cx="4643470" cy="64294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ru-RU" sz="2400" b="1" i="1" dirty="0" smtClean="0">
                              <a:ln w="1905"/>
                              <a:gradFill>
                                <a:gsLst>
                                  <a:gs pos="0">
                                    <a:schemeClr val="accent6">
                                      <a:shade val="20000"/>
                                      <a:satMod val="200000"/>
                                    </a:schemeClr>
                                  </a:gs>
                                  <a:gs pos="78000">
                                    <a:schemeClr val="accent6">
                                      <a:tint val="90000"/>
                                      <a:shade val="89000"/>
                                      <a:satMod val="220000"/>
                                    </a:schemeClr>
                                  </a:gs>
                                  <a:gs pos="100000">
                                    <a:schemeClr val="accent6">
                                      <a:tint val="12000"/>
                                      <a:satMod val="255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innerShdw blurRad="69850" dist="43180" dir="5400000">
                                  <a:srgbClr val="000000">
                                    <a:alpha val="65000"/>
                                  </a:srgbClr>
                                </a:innerShdw>
                              </a:effectLst>
                            </a:rPr>
                            <a:t>Государственное устройство</a:t>
                          </a:r>
                          <a:endParaRPr lang="ru-RU" sz="2400" b="1" i="1" dirty="0">
                            <a:ln w="1905"/>
                            <a:gradFill>
                              <a:gsLst>
                                <a:gs pos="0">
                                  <a:schemeClr val="accent6">
                                    <a:shade val="20000"/>
                                    <a:satMod val="200000"/>
                                  </a:schemeClr>
                                </a:gs>
                                <a:gs pos="78000">
                                  <a:schemeClr val="accent6">
                                    <a:tint val="90000"/>
                                    <a:shade val="89000"/>
                                    <a:satMod val="220000"/>
                                  </a:schemeClr>
                                </a:gs>
                                <a:gs pos="100000">
                                  <a:schemeClr val="accent6">
                                    <a:tint val="12000"/>
                                    <a:satMod val="255000"/>
                                  </a:schemeClr>
                                </a:gs>
                              </a:gsLst>
                              <a:lin ang="5400000"/>
                            </a:gradFill>
                            <a:effectLst>
                              <a:innerShdw blurRad="69850" dist="43180" dir="5400000">
                                <a:srgbClr val="000000">
                                  <a:alpha val="65000"/>
                                </a:srgbClr>
                              </a:innerShdw>
                            </a:effectLst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4" name="Содержимое 3" descr="v2_15.jpg"/>
                      <a:cNvPicPr>
                        <a:picLocks noGrp="1" noChangeAspect="1"/>
                      </a:cNvPicPr>
                    </a:nvPicPr>
                    <a:blipFill>
                      <a:blip r:embed="rId7"/>
                      <a:srcRect t="6879"/>
                      <a:stretch>
                        <a:fillRect/>
                      </a:stretch>
                    </a:blipFill>
                    <a:spPr>
                      <a:xfrm>
                        <a:off x="357158" y="642918"/>
                        <a:ext cx="3947715" cy="2901335"/>
                      </a:xfrm>
                      <a:prstGeom prst="rect">
                        <a:avLst/>
                      </a:prstGeom>
                      <a:ln w="28575">
                        <a:solidFill>
                          <a:srgbClr val="FFC000"/>
                        </a:solidFill>
                      </a:ln>
                    </a:spPr>
                  </a:pic>
                  <a:sp>
                    <a:nvSpPr>
                      <a:cNvPr id="5" name="Содержимое 2"/>
                      <a:cNvSpPr txBox="1">
                        <a:spLocks/>
                      </a:cNvSpPr>
                    </a:nvSpPr>
                    <a:spPr>
                      <a:xfrm>
                        <a:off x="428596" y="3571876"/>
                        <a:ext cx="8286808" cy="1454153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>
                          <a:no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342900" marR="0" lvl="0" indent="-34290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None/>
                            <a:tabLst/>
                            <a:defRPr/>
                          </a:pPr>
                          <a:r>
                            <a:rPr kumimoji="0" lang="ru-RU" sz="1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ru-RU" sz="1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Государственный строй Киевской Руси можно определить как раннефеодальную монархию.</a:t>
                          </a:r>
                        </a:p>
                        <a:p>
                          <a:pPr marL="342900" marR="0" lvl="0" indent="-34290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Char char="•"/>
                            <a:tabLst/>
                            <a:defRPr/>
                          </a:pPr>
                          <a:r>
                            <a:rPr kumimoji="0" lang="ru-RU" sz="1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Во главе государства – Князь Киевский</a:t>
                          </a:r>
                        </a:p>
                        <a:p>
                          <a:pPr marL="342900" marR="0" lvl="0" indent="-34290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Char char="•"/>
                            <a:tabLst/>
                            <a:defRPr/>
                          </a:pPr>
                          <a:r>
                            <a:rPr kumimoji="0" lang="ru-RU" sz="1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Опирается на дружину ( бояре)</a:t>
                          </a:r>
                        </a:p>
                        <a:p>
                          <a:pPr marL="342900" marR="0" lvl="0" indent="-34290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Char char="•"/>
                            <a:tabLst/>
                            <a:defRPr/>
                          </a:pPr>
                          <a:r>
                            <a:rPr kumimoji="0" lang="ru-RU" sz="1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Местное самоуправление – договорные или </a:t>
                          </a:r>
                          <a:r>
                            <a:rPr kumimoji="0" lang="ru-RU" sz="1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сюзеренно-вассальные</a:t>
                          </a:r>
                          <a:r>
                            <a:rPr kumimoji="0" lang="ru-RU" sz="1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отношения с князьями</a:t>
                          </a:r>
                        </a:p>
                        <a:p>
                          <a:pPr marL="342900" marR="0" lvl="0" indent="-34290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Char char="•"/>
                            <a:tabLst/>
                            <a:defRPr/>
                          </a:pPr>
                          <a:r>
                            <a:rPr kumimoji="0" lang="ru-RU" sz="1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Дополнительный институт – церковь (</a:t>
                          </a:r>
                          <a:r>
                            <a:rPr kumimoji="0" lang="ru-RU" sz="1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суд,право</a:t>
                          </a:r>
                          <a:r>
                            <a:rPr kumimoji="0" lang="ru-RU" sz="1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скупки деревень и </a:t>
                          </a:r>
                          <a:r>
                            <a:rPr kumimoji="0" lang="ru-RU" sz="1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земель,белое-черное</a:t>
                          </a:r>
                          <a:r>
                            <a:rPr kumimoji="0" lang="ru-RU" sz="1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духовенство)</a:t>
                          </a:r>
                        </a:p>
                        <a:p>
                          <a:pPr marL="342900" marR="0" lvl="0" indent="-34290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None/>
                            <a:tabLst/>
                            <a:defRPr/>
                          </a:pPr>
                          <a:endParaRPr kumimoji="0" lang="ru-RU" sz="1600" b="0" i="0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uLnTx/>
                            <a:uFillTx/>
                            <a:latin typeface="+mn-lt"/>
                            <a:ea typeface="+mn-ea"/>
                            <a:cs typeface="+mn-cs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6" name="Рисунок 5" descr="10d6774ac038_21_08_09_4.jpg"/>
                      <a:cNvPicPr>
                        <a:picLocks noChangeAspect="1"/>
                      </a:cNvPicPr>
                    </a:nvPicPr>
                    <a:blipFill>
                      <a:blip r:embed="rId8"/>
                      <a:stretch>
                        <a:fillRect/>
                      </a:stretch>
                    </a:blipFill>
                    <a:spPr>
                      <a:xfrm>
                        <a:off x="1714480" y="4857760"/>
                        <a:ext cx="2500330" cy="1879947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3074" name="Picture 2" descr="C:\Users\Администратор\Desktop\новые\1426580872_a-vasnecov.-monastyr-v-moskovskoy-rusi.jpg"/>
                      <a:cNvPicPr>
                        <a:picLocks noChangeAspect="1" noChangeArrowheads="1"/>
                      </a:cNvPicPr>
                    </a:nvPicPr>
                    <a:blipFill>
                      <a:blip r:embed="rId9"/>
                      <a:srcRect r="2350"/>
                      <a:stretch>
                        <a:fillRect/>
                      </a:stretch>
                    </a:blipFill>
                    <a:spPr bwMode="auto">
                      <a:xfrm>
                        <a:off x="4500562" y="642918"/>
                        <a:ext cx="4374000" cy="2916000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rgbClr val="FFC000"/>
                        </a:solidFill>
                      </a:ln>
                    </a:spPr>
                  </a:pic>
                  <a:pic>
                    <a:nvPicPr>
                      <a:cNvPr id="3075" name="Picture 3" descr="C:\Users\Администратор\Desktop\новые\1367606636_800px-congress_in_dolobsk_1103.jpg"/>
                      <a:cNvPicPr>
                        <a:picLocks noChangeAspect="1" noChangeArrowheads="1"/>
                      </a:cNvPicPr>
                    </a:nvPicPr>
                    <a:blipFill>
                      <a:blip r:embed="rId10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643438" y="4857758"/>
                        <a:ext cx="2460301" cy="1836000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rgbClr val="00B050"/>
                        </a:solidFill>
                      </a:ln>
                    </a:spPr>
                  </a:pic>
                </lc:lockedCanvas>
              </a:graphicData>
            </a:graphic>
          </wp:anchor>
        </w:drawing>
      </w:r>
    </w:p>
    <w:p w:rsidR="00E5208C" w:rsidRPr="00E5208C" w:rsidRDefault="00E5208C" w:rsidP="00E5208C"/>
    <w:p w:rsidR="00E5208C" w:rsidRPr="00E5208C" w:rsidRDefault="00E5208C" w:rsidP="00E5208C"/>
    <w:p w:rsidR="00E5208C" w:rsidRPr="00E5208C" w:rsidRDefault="00E5208C" w:rsidP="00E5208C"/>
    <w:p w:rsidR="00E5208C" w:rsidRPr="00E5208C" w:rsidRDefault="00E5208C" w:rsidP="00E5208C"/>
    <w:p w:rsidR="00E5208C" w:rsidRPr="00E5208C" w:rsidRDefault="00E5208C" w:rsidP="00E5208C"/>
    <w:p w:rsidR="00E5208C" w:rsidRPr="00E5208C" w:rsidRDefault="00E5208C" w:rsidP="00E5208C"/>
    <w:p w:rsidR="00E5208C" w:rsidRPr="00E5208C" w:rsidRDefault="00E5208C" w:rsidP="00E5208C"/>
    <w:p w:rsidR="00E5208C" w:rsidRPr="00E5208C" w:rsidRDefault="00E5208C" w:rsidP="00E5208C"/>
    <w:p w:rsidR="00E5208C" w:rsidRPr="00E5208C" w:rsidRDefault="00E5208C" w:rsidP="00E5208C"/>
    <w:p w:rsidR="00E5208C" w:rsidRPr="00E5208C" w:rsidRDefault="00E5208C" w:rsidP="00E5208C"/>
    <w:p w:rsidR="00E5208C" w:rsidRDefault="00E5208C" w:rsidP="00E5208C"/>
    <w:p w:rsidR="00E5208C" w:rsidRDefault="00E5208C" w:rsidP="00E5208C"/>
    <w:p w:rsidR="00E5208C" w:rsidRDefault="00E5208C">
      <w:r>
        <w:br w:type="page"/>
      </w:r>
    </w:p>
    <w:p w:rsidR="00E5208C" w:rsidRDefault="00E5208C" w:rsidP="00E5208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-287020</wp:posOffset>
            </wp:positionH>
            <wp:positionV relativeFrom="paragraph">
              <wp:posOffset>-196215</wp:posOffset>
            </wp:positionV>
            <wp:extent cx="5929630" cy="4572000"/>
            <wp:effectExtent l="19050" t="0" r="0" b="0"/>
            <wp:wrapNone/>
            <wp:docPr id="12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8246" cy="6429420"/>
                      <a:chOff x="357158" y="214290"/>
                      <a:chExt cx="8358246" cy="6429420"/>
                    </a:xfrm>
                  </a:grpSpPr>
                  <a:sp>
                    <a:nvSpPr>
                      <a:cNvPr id="2" name="Заголовок 1"/>
                      <a:cNvSpPr>
                        <a:spLocks noGrp="1"/>
                      </a:cNvSpPr>
                    </a:nvSpPr>
                    <a:spPr>
                      <a:xfrm>
                        <a:off x="357158" y="428604"/>
                        <a:ext cx="5186370" cy="41753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ru-RU" sz="2400" dirty="0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Основные политические и экономические события</a:t>
                          </a:r>
                        </a:p>
                      </a:txBody>
                      <a:useSpRect/>
                    </a:txSp>
                  </a:sp>
                  <a:pic>
                    <a:nvPicPr>
                      <a:cNvPr id="4" name="Содержимое 3" descr="21221557_kulikbitva.gif"/>
                      <a:cNvPicPr>
                        <a:picLocks noGrp="1" noChangeAspect="1"/>
                      </a:cNvPicPr>
                    </a:nvPicPr>
                    <a:blipFill>
                      <a:blip r:embed="rId11"/>
                      <a:stretch>
                        <a:fillRect/>
                      </a:stretch>
                    </a:blipFill>
                    <a:spPr>
                      <a:xfrm>
                        <a:off x="357158" y="1142984"/>
                        <a:ext cx="4500594" cy="2406902"/>
                      </a:xfrm>
                      <a:prstGeom prst="rect">
                        <a:avLst/>
                      </a:prstGeom>
                      <a:ln>
                        <a:solidFill>
                          <a:srgbClr val="FFC000"/>
                        </a:solidFill>
                      </a:ln>
                    </a:spPr>
                  </a:pic>
                  <a:sp>
                    <a:nvSpPr>
                      <a:cNvPr id="5" name="Содержимое 2"/>
                      <a:cNvSpPr txBox="1">
                        <a:spLocks/>
                      </a:cNvSpPr>
                    </a:nvSpPr>
                    <a:spPr>
                      <a:xfrm>
                        <a:off x="428596" y="3714752"/>
                        <a:ext cx="8215370" cy="135732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>
                          <a:normAutofit fontScale="92500" lnSpcReduction="20000"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514350" marR="0" lvl="0" indent="-51435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AutoNum type="arabicPeriod"/>
                            <a:tabLst/>
                            <a:defRPr/>
                          </a:pPr>
                          <a:r>
                            <a:rPr kumimoji="0" lang="ru-RU" sz="1800" b="0" i="0" u="none" strike="noStrike" kern="1200" cap="none" spc="0" normalizeH="0" baseline="0" noProof="0" smtClean="0">
                              <a:ln>
                                <a:noFill/>
                              </a:ln>
                              <a:solidFill>
                                <a:schemeClr val="dk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Создание киевской руси (882 г.)</a:t>
                          </a:r>
                        </a:p>
                        <a:p>
                          <a:pPr marL="514350" marR="0" lvl="0" indent="-51435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AutoNum type="arabicPeriod"/>
                            <a:tabLst/>
                            <a:defRPr/>
                          </a:pPr>
                          <a:r>
                            <a:rPr kumimoji="0" lang="ru-RU" sz="1800" b="0" i="0" u="none" strike="noStrike" kern="1200" cap="none" spc="0" normalizeH="0" baseline="0" noProof="0" smtClean="0">
                              <a:ln>
                                <a:noFill/>
                              </a:ln>
                              <a:solidFill>
                                <a:schemeClr val="dk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Крещение руси (988г)</a:t>
                          </a:r>
                        </a:p>
                        <a:p>
                          <a:pPr marL="514350" marR="0" lvl="0" indent="-51435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AutoNum type="arabicPeriod"/>
                            <a:tabLst/>
                            <a:defRPr/>
                          </a:pPr>
                          <a:r>
                            <a:rPr kumimoji="0" lang="ru-RU" sz="1800" b="0" i="0" u="none" strike="noStrike" kern="1200" cap="none" spc="0" normalizeH="0" baseline="0" noProof="0" smtClean="0">
                              <a:ln>
                                <a:noFill/>
                              </a:ln>
                              <a:solidFill>
                                <a:schemeClr val="dk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Княжество Ярослава «мудрого» (русская правда) 1019-1054г.</a:t>
                          </a:r>
                        </a:p>
                        <a:p>
                          <a:pPr marL="514350" marR="0" lvl="0" indent="-51435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AutoNum type="arabicPeriod"/>
                            <a:tabLst/>
                            <a:defRPr/>
                          </a:pPr>
                          <a:r>
                            <a:rPr kumimoji="0" lang="ru-RU" sz="1800" b="0" i="0" u="none" strike="noStrike" kern="1200" cap="none" spc="0" normalizeH="0" baseline="0" noProof="0" smtClean="0">
                              <a:ln>
                                <a:noFill/>
                              </a:ln>
                              <a:solidFill>
                                <a:schemeClr val="dk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Наступление раздробленности(Любечский съез- юридическое оформление разделения земли русской на княжества 1097г.)</a:t>
                          </a:r>
                          <a:endParaRPr kumimoji="0" lang="ru-RU" sz="1800" b="0" i="0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schemeClr val="dk1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uLnTx/>
                            <a:uFillTx/>
                            <a:latin typeface="+mn-lt"/>
                            <a:ea typeface="+mn-ea"/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6" name="Заголовок 1"/>
                      <a:cNvSpPr txBox="1">
                        <a:spLocks/>
                      </a:cNvSpPr>
                    </a:nvSpPr>
                    <a:spPr>
                      <a:xfrm>
                        <a:off x="5214942" y="214290"/>
                        <a:ext cx="3500462" cy="928694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ru-RU" sz="18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rgbClr val="00B0F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j-lt"/>
                              <a:ea typeface="+mj-ea"/>
                              <a:cs typeface="+mj-cs"/>
                            </a:rPr>
                            <a:t>Финансовая система и органы управления финансами</a:t>
                          </a:r>
                          <a:endParaRPr kumimoji="0" lang="ru-RU" sz="1800" b="0" i="0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srgbClr val="00B0F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uLnTx/>
                            <a:uFillTx/>
                            <a:latin typeface="+mj-lt"/>
                            <a:ea typeface="+mj-ea"/>
                            <a:cs typeface="+mj-cs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7" name="Рисунок 6" descr="index-feod2.jpg"/>
                      <a:cNvPicPr>
                        <a:picLocks noChangeAspect="1"/>
                      </a:cNvPicPr>
                    </a:nvPicPr>
                    <a:blipFill>
                      <a:blip r:embed="rId12"/>
                      <a:stretch>
                        <a:fillRect/>
                      </a:stretch>
                    </a:blipFill>
                    <a:spPr>
                      <a:xfrm>
                        <a:off x="5000628" y="1214422"/>
                        <a:ext cx="1928826" cy="2325306"/>
                      </a:xfrm>
                      <a:prstGeom prst="rect">
                        <a:avLst/>
                      </a:prstGeom>
                      <a:ln w="12700">
                        <a:solidFill>
                          <a:srgbClr val="00B050"/>
                        </a:solidFill>
                      </a:ln>
                    </a:spPr>
                  </a:pic>
                  <a:pic>
                    <a:nvPicPr>
                      <a:cNvPr id="8" name="Содержимое 3" descr="f3fc3b698012384fc13310b224a.jpg"/>
                      <a:cNvPicPr>
                        <a:picLocks noChangeAspect="1"/>
                      </a:cNvPicPr>
                    </a:nvPicPr>
                    <a:blipFill>
                      <a:blip r:embed="rId13"/>
                      <a:stretch>
                        <a:fillRect/>
                      </a:stretch>
                    </a:blipFill>
                    <a:spPr>
                      <a:xfrm rot="5400000">
                        <a:off x="6671424" y="1686766"/>
                        <a:ext cx="2428892" cy="1341328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9" name="Содержимое 2"/>
                      <a:cNvSpPr txBox="1">
                        <a:spLocks/>
                      </a:cNvSpPr>
                    </a:nvSpPr>
                    <a:spPr>
                      <a:xfrm>
                        <a:off x="428596" y="5214950"/>
                        <a:ext cx="8215370" cy="1428760"/>
                      </a:xfrm>
                      <a:prstGeom prst="rect">
                        <a:avLst/>
                      </a:prstGeom>
                      <a:ln w="28575">
                        <a:solidFill>
                          <a:srgbClr val="92D050"/>
                        </a:solidFill>
                      </a:ln>
                    </a:spPr>
                    <a:txSp>
                      <a:txBody>
                        <a:bodyPr vert="horz" lIns="91440" tIns="45720" rIns="91440" bIns="45720" rtlCol="0">
                          <a:no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14288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None/>
                            <a:tabLst/>
                            <a:defRPr/>
                          </a:pPr>
                          <a:r>
                            <a:rPr kumimoji="0" lang="ru-RU" sz="1600" b="0" i="0" u="none" strike="noStrike" kern="1200" cap="none" spc="0" normalizeH="0" baseline="0" noProof="0" dirty="0" smtClean="0">
                              <a:ln>
                                <a:solidFill>
                                  <a:srgbClr val="00B0F0"/>
                                </a:solidFill>
                              </a:ln>
                              <a:solidFill>
                                <a:srgbClr val="7030A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Началом финансового устройства в Древней Руси является установление даней. По сути, первоначально они были почти единственным источником доходов и служили удовлетворению потребностей князя и дружины.</a:t>
                          </a:r>
                        </a:p>
                        <a:p>
                          <a:pPr marL="0" marR="0" lvl="0" indent="14288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None/>
                            <a:tabLst/>
                            <a:defRPr/>
                          </a:pPr>
                          <a:r>
                            <a:rPr kumimoji="0" lang="ru-RU" sz="1600" b="0" i="0" u="none" strike="noStrike" kern="1200" cap="none" spc="0" normalizeH="0" baseline="0" noProof="0" dirty="0" smtClean="0">
                              <a:ln>
                                <a:solidFill>
                                  <a:srgbClr val="00B0F0"/>
                                </a:solidFill>
                              </a:ln>
                              <a:solidFill>
                                <a:srgbClr val="7030A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Местные самоуправления,  являлись органами управления финансовых(налоговых) потоков, равно как и Киев.</a:t>
                          </a:r>
                          <a:endParaRPr kumimoji="0" lang="ru-RU" sz="1600" b="0" i="0" u="none" strike="noStrike" kern="1200" cap="none" spc="0" normalizeH="0" baseline="0" noProof="0" dirty="0">
                            <a:ln>
                              <a:solidFill>
                                <a:srgbClr val="00B0F0"/>
                              </a:solidFill>
                            </a:ln>
                            <a:solidFill>
                              <a:srgbClr val="7030A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uLnTx/>
                            <a:uFillTx/>
                            <a:latin typeface="+mn-lt"/>
                            <a:ea typeface="+mn-ea"/>
                            <a:cs typeface="+mn-cs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E5208C" w:rsidRDefault="002506ED">
      <w:r w:rsidRPr="002506ED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-286759</wp:posOffset>
            </wp:positionH>
            <wp:positionV relativeFrom="paragraph">
              <wp:posOffset>4133812</wp:posOffset>
            </wp:positionV>
            <wp:extent cx="5940425" cy="4800600"/>
            <wp:effectExtent l="0" t="0" r="3175" b="0"/>
            <wp:wrapNone/>
            <wp:docPr id="13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15352" cy="6882558"/>
                      <a:chOff x="357158" y="-142900"/>
                      <a:chExt cx="8515352" cy="6882558"/>
                    </a:xfrm>
                  </a:grpSpPr>
                  <a:sp>
                    <a:nvSpPr>
                      <a:cNvPr id="2" name="Заголовок 1"/>
                      <a:cNvSpPr txBox="1">
                        <a:spLocks/>
                      </a:cNvSpPr>
                    </a:nvSpPr>
                    <a:spPr>
                      <a:xfrm>
                        <a:off x="500034" y="-142900"/>
                        <a:ext cx="7715304" cy="85723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>
                          <a:noAutofit/>
                          <a:scene3d>
                            <a:camera prst="orthographicFront"/>
                            <a:lightRig rig="soft" dir="tl">
                              <a:rot lat="0" lon="0" rev="0"/>
                            </a:lightRig>
                          </a:scene3d>
                          <a:sp3d contourW="25400" prstMaterial="matte">
                            <a:bevelT w="25400" h="55880" prst="artDeco"/>
                            <a:contourClr>
                              <a:schemeClr val="accent2">
                                <a:tint val="20000"/>
                              </a:schemeClr>
                            </a:contourClr>
                          </a:sp3d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ru-RU" sz="2000" b="1" i="0" u="none" strike="noStrike" kern="1200" cap="none" spc="50" normalizeH="0" baseline="0" noProof="0" dirty="0" smtClean="0">
                              <a:ln w="11430"/>
                              <a:gradFill>
                                <a:gsLst>
                                  <a:gs pos="25000">
                                    <a:schemeClr val="accent2">
                                      <a:satMod val="155000"/>
                                    </a:schemeClr>
                                  </a:gs>
                                  <a:gs pos="100000">
                                    <a:schemeClr val="accent2">
                                      <a:shade val="45000"/>
                                      <a:satMod val="165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outerShdw blurRad="76200" dist="50800" dir="5400000" algn="tl" rotWithShape="0">
                                  <a:srgbClr val="000000">
                                    <a:alpha val="65000"/>
                                  </a:srgbClr>
                                </a:outerShdw>
                              </a:effectLst>
                              <a:uLnTx/>
                              <a:uFillTx/>
                              <a:latin typeface="Times New Roman" pitchFamily="18" charset="0"/>
                              <a:ea typeface="+mj-ea"/>
                              <a:cs typeface="Times New Roman" pitchFamily="18" charset="0"/>
                            </a:rPr>
                            <a:t/>
                          </a:r>
                          <a:br>
                            <a:rPr kumimoji="0" lang="ru-RU" sz="2000" b="1" i="0" u="none" strike="noStrike" kern="1200" cap="none" spc="50" normalizeH="0" baseline="0" noProof="0" dirty="0" smtClean="0">
                              <a:ln w="11430"/>
                              <a:gradFill>
                                <a:gsLst>
                                  <a:gs pos="25000">
                                    <a:schemeClr val="accent2">
                                      <a:satMod val="155000"/>
                                    </a:schemeClr>
                                  </a:gs>
                                  <a:gs pos="100000">
                                    <a:schemeClr val="accent2">
                                      <a:shade val="45000"/>
                                      <a:satMod val="165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outerShdw blurRad="76200" dist="50800" dir="5400000" algn="tl" rotWithShape="0">
                                  <a:srgbClr val="000000">
                                    <a:alpha val="65000"/>
                                  </a:srgbClr>
                                </a:outerShdw>
                              </a:effectLst>
                              <a:uLnTx/>
                              <a:uFillTx/>
                              <a:latin typeface="Times New Roman" pitchFamily="18" charset="0"/>
                              <a:ea typeface="+mj-ea"/>
                              <a:cs typeface="Times New Roman" pitchFamily="18" charset="0"/>
                            </a:rPr>
                          </a:br>
                          <a:r>
                            <a:rPr kumimoji="0" lang="ru-RU" sz="2000" b="1" i="0" u="none" strike="noStrike" kern="1200" cap="none" spc="50" normalizeH="0" baseline="0" noProof="0" dirty="0" smtClean="0">
                              <a:ln w="11430"/>
                              <a:gradFill>
                                <a:gsLst>
                                  <a:gs pos="25000">
                                    <a:schemeClr val="accent2">
                                      <a:satMod val="155000"/>
                                    </a:schemeClr>
                                  </a:gs>
                                  <a:gs pos="100000">
                                    <a:schemeClr val="accent2">
                                      <a:shade val="45000"/>
                                      <a:satMod val="165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outerShdw blurRad="76200" dist="50800" dir="5400000" algn="tl" rotWithShape="0">
                                  <a:srgbClr val="000000">
                                    <a:alpha val="65000"/>
                                  </a:srgbClr>
                                </a:outerShdw>
                              </a:effectLst>
                              <a:uLnTx/>
                              <a:uFillTx/>
                              <a:latin typeface="Times New Roman" pitchFamily="18" charset="0"/>
                              <a:ea typeface="+mj-ea"/>
                              <a:cs typeface="Times New Roman" pitchFamily="18" charset="0"/>
                            </a:rPr>
                            <a:t>Экономическая политика. Внутренняя и внешняя торговля</a:t>
                          </a:r>
                          <a:r>
                            <a:rPr kumimoji="0" lang="ru-RU" b="1" i="0" u="none" strike="noStrike" kern="1200" cap="none" spc="50" normalizeH="0" baseline="0" noProof="0" dirty="0" smtClean="0">
                              <a:ln w="11430"/>
                              <a:gradFill>
                                <a:gsLst>
                                  <a:gs pos="25000">
                                    <a:schemeClr val="accent2">
                                      <a:satMod val="155000"/>
                                    </a:schemeClr>
                                  </a:gs>
                                  <a:gs pos="100000">
                                    <a:schemeClr val="accent2">
                                      <a:shade val="45000"/>
                                      <a:satMod val="165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outerShdw blurRad="76200" dist="50800" dir="5400000" algn="tl" rotWithShape="0">
                                  <a:srgbClr val="000000">
                                    <a:alpha val="65000"/>
                                  </a:srgbClr>
                                </a:outerShdw>
                              </a:effectLst>
                              <a:uLnTx/>
                              <a:uFillTx/>
                              <a:latin typeface="Times New Roman" pitchFamily="18" charset="0"/>
                              <a:ea typeface="+mj-ea"/>
                              <a:cs typeface="Times New Roman" pitchFamily="18" charset="0"/>
                            </a:rPr>
                            <a:t>.</a:t>
                          </a:r>
                          <a:endParaRPr kumimoji="0" lang="ru-RU" b="1" i="0" u="none" strike="noStrike" kern="1200" cap="none" spc="50" normalizeH="0" baseline="0" noProof="0" dirty="0">
                            <a:ln w="11430"/>
                            <a:gradFill>
                              <a:gsLst>
                                <a:gs pos="25000">
                                  <a:schemeClr val="accent2">
                                    <a:satMod val="155000"/>
                                  </a:schemeClr>
                                </a:gs>
                                <a:gs pos="100000">
                                  <a:schemeClr val="accent2">
                                    <a:shade val="45000"/>
                                    <a:satMod val="165000"/>
                                  </a:schemeClr>
                                </a:gs>
                              </a:gsLst>
                              <a:lin ang="5400000"/>
                            </a:gradFill>
                            <a:effectLst>
                              <a:outerShdw blurRad="76200" dist="50800" dir="5400000" algn="tl" rotWithShape="0">
                                <a:srgbClr val="000000">
                                  <a:alpha val="65000"/>
                                </a:srgbClr>
                              </a:outerShdw>
                            </a:effectLst>
                            <a:uLnTx/>
                            <a:uFillTx/>
                            <a:latin typeface="Times New Roman" pitchFamily="18" charset="0"/>
                            <a:ea typeface="+mj-ea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" name="Содержимое 2"/>
                      <a:cNvSpPr txBox="1">
                        <a:spLocks/>
                      </a:cNvSpPr>
                    </a:nvSpPr>
                    <a:spPr>
                      <a:xfrm>
                        <a:off x="642910" y="571480"/>
                        <a:ext cx="8229600" cy="114300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>
                          <a:norm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342900" marR="0" lvl="0" indent="-34290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None/>
                            <a:tabLst/>
                            <a:defRPr/>
                          </a:pPr>
                          <a:r>
                            <a:rPr kumimoji="0" lang="ru-RU" sz="1100" b="1" i="0" u="none" strike="noStrike" kern="1200" cap="all" normalizeH="0" baseline="0" noProof="0" dirty="0" smtClean="0">
                              <a:ln w="9000" cmpd="sng">
                                <a:solidFill>
                                  <a:schemeClr val="accent4">
                                    <a:shade val="50000"/>
                                    <a:satMod val="120000"/>
                                  </a:scheme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chemeClr val="accent4">
                                      <a:shade val="20000"/>
                                      <a:satMod val="245000"/>
                                    </a:schemeClr>
                                  </a:gs>
                                  <a:gs pos="43000">
                                    <a:schemeClr val="accent4">
                                      <a:satMod val="255000"/>
                                    </a:schemeClr>
                                  </a:gs>
                                  <a:gs pos="48000">
                                    <a:schemeClr val="accent4">
                                      <a:shade val="85000"/>
                                      <a:satMod val="255000"/>
                                    </a:schemeClr>
                                  </a:gs>
                                  <a:gs pos="100000">
                                    <a:schemeClr val="accent4">
                                      <a:shade val="20000"/>
                                      <a:satMod val="245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reflection blurRad="12700" stA="28000" endPos="45000" dist="1000" dir="5400000" sy="-100000" algn="bl" rotWithShape="0"/>
                              </a:effectLst>
                              <a:uLnTx/>
                              <a:uFillTx/>
                              <a:latin typeface="Times New Roman" pitchFamily="18" charset="0"/>
                              <a:ea typeface="+mn-ea"/>
                              <a:cs typeface="Times New Roman" pitchFamily="18" charset="0"/>
                            </a:rPr>
                            <a:t>    </a:t>
                          </a:r>
                          <a:r>
                            <a:rPr kumimoji="0" lang="ru-RU" sz="1100" b="1" i="0" u="none" strike="noStrike" kern="1200" cap="all" normalizeH="0" baseline="0" noProof="0" dirty="0" smtClean="0">
                              <a:ln w="9000" cmpd="sng">
                                <a:solidFill>
                                  <a:schemeClr val="accent4">
                                    <a:shade val="50000"/>
                                    <a:satMod val="120000"/>
                                  </a:scheme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chemeClr val="accent4">
                                      <a:shade val="20000"/>
                                      <a:satMod val="245000"/>
                                    </a:schemeClr>
                                  </a:gs>
                                  <a:gs pos="43000">
                                    <a:schemeClr val="accent4">
                                      <a:satMod val="255000"/>
                                    </a:schemeClr>
                                  </a:gs>
                                  <a:gs pos="48000">
                                    <a:schemeClr val="accent4">
                                      <a:shade val="85000"/>
                                      <a:satMod val="255000"/>
                                    </a:schemeClr>
                                  </a:gs>
                                  <a:gs pos="100000">
                                    <a:schemeClr val="accent4">
                                      <a:shade val="20000"/>
                                      <a:satMod val="245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reflection blurRad="12700" stA="28000" endPos="45000" dist="1000" dir="5400000" sy="-100000" algn="bl" rotWithShape="0"/>
                              </a:effectLst>
                              <a:uLnTx/>
                              <a:uFillTx/>
                              <a:latin typeface="Times New Roman" pitchFamily="18" charset="0"/>
                              <a:ea typeface="+mj-ea"/>
                              <a:cs typeface="Times New Roman" pitchFamily="18" charset="0"/>
                            </a:rPr>
                            <a:t>Внутренняя торговля в Киевской Руси развивалась под влиянием </a:t>
                          </a:r>
                        </a:p>
                        <a:p>
                          <a:pPr marL="342900" marR="0" lvl="0" indent="-34290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Char char="•"/>
                            <a:tabLst/>
                            <a:defRPr/>
                          </a:pPr>
                          <a:r>
                            <a:rPr kumimoji="0" lang="ru-RU" sz="1100" b="1" i="0" u="none" strike="noStrike" kern="1200" cap="all" normalizeH="0" baseline="0" noProof="0" dirty="0" smtClean="0">
                              <a:ln w="9000" cmpd="sng">
                                <a:solidFill>
                                  <a:schemeClr val="accent4">
                                    <a:shade val="50000"/>
                                    <a:satMod val="120000"/>
                                  </a:scheme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chemeClr val="accent4">
                                      <a:shade val="20000"/>
                                      <a:satMod val="245000"/>
                                    </a:schemeClr>
                                  </a:gs>
                                  <a:gs pos="43000">
                                    <a:schemeClr val="accent4">
                                      <a:satMod val="255000"/>
                                    </a:schemeClr>
                                  </a:gs>
                                  <a:gs pos="48000">
                                    <a:schemeClr val="accent4">
                                      <a:shade val="85000"/>
                                      <a:satMod val="255000"/>
                                    </a:schemeClr>
                                  </a:gs>
                                  <a:gs pos="100000">
                                    <a:schemeClr val="accent4">
                                      <a:shade val="20000"/>
                                      <a:satMod val="245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reflection blurRad="12700" stA="28000" endPos="45000" dist="1000" dir="5400000" sy="-100000" algn="bl" rotWithShape="0"/>
                              </a:effectLst>
                              <a:uLnTx/>
                              <a:uFillTx/>
                              <a:latin typeface="Times New Roman" pitchFamily="18" charset="0"/>
                              <a:ea typeface="+mj-ea"/>
                              <a:cs typeface="Times New Roman" pitchFamily="18" charset="0"/>
                            </a:rPr>
                            <a:t>общественного разделения труда, </a:t>
                          </a:r>
                        </a:p>
                        <a:p>
                          <a:pPr marL="342900" marR="0" lvl="0" indent="-34290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Char char="•"/>
                            <a:tabLst/>
                            <a:defRPr/>
                          </a:pPr>
                          <a:r>
                            <a:rPr kumimoji="0" lang="ru-RU" sz="1100" b="1" i="0" u="none" strike="noStrike" kern="1200" cap="all" normalizeH="0" baseline="0" noProof="0" dirty="0" smtClean="0">
                              <a:ln w="9000" cmpd="sng">
                                <a:solidFill>
                                  <a:schemeClr val="accent4">
                                    <a:shade val="50000"/>
                                    <a:satMod val="120000"/>
                                  </a:scheme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chemeClr val="accent4">
                                      <a:shade val="20000"/>
                                      <a:satMod val="245000"/>
                                    </a:schemeClr>
                                  </a:gs>
                                  <a:gs pos="43000">
                                    <a:schemeClr val="accent4">
                                      <a:satMod val="255000"/>
                                    </a:schemeClr>
                                  </a:gs>
                                  <a:gs pos="48000">
                                    <a:schemeClr val="accent4">
                                      <a:shade val="85000"/>
                                      <a:satMod val="255000"/>
                                    </a:schemeClr>
                                  </a:gs>
                                  <a:gs pos="100000">
                                    <a:schemeClr val="accent4">
                                      <a:shade val="20000"/>
                                      <a:satMod val="245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reflection blurRad="12700" stA="28000" endPos="45000" dist="1000" dir="5400000" sy="-100000" algn="bl" rotWithShape="0"/>
                              </a:effectLst>
                              <a:uLnTx/>
                              <a:uFillTx/>
                              <a:latin typeface="Times New Roman" pitchFamily="18" charset="0"/>
                              <a:ea typeface="+mj-ea"/>
                              <a:cs typeface="Times New Roman" pitchFamily="18" charset="0"/>
                            </a:rPr>
                            <a:t>выделения ремесел, </a:t>
                          </a:r>
                        </a:p>
                        <a:p>
                          <a:pPr marL="342900" marR="0" lvl="0" indent="-34290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Char char="•"/>
                            <a:tabLst/>
                            <a:defRPr/>
                          </a:pPr>
                          <a:r>
                            <a:rPr kumimoji="0" lang="ru-RU" sz="1100" b="1" i="0" u="none" strike="noStrike" kern="1200" cap="all" normalizeH="0" baseline="0" noProof="0" dirty="0" smtClean="0">
                              <a:ln w="9000" cmpd="sng">
                                <a:solidFill>
                                  <a:schemeClr val="accent4">
                                    <a:shade val="50000"/>
                                    <a:satMod val="120000"/>
                                  </a:scheme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chemeClr val="accent4">
                                      <a:shade val="20000"/>
                                      <a:satMod val="245000"/>
                                    </a:schemeClr>
                                  </a:gs>
                                  <a:gs pos="43000">
                                    <a:schemeClr val="accent4">
                                      <a:satMod val="255000"/>
                                    </a:schemeClr>
                                  </a:gs>
                                  <a:gs pos="48000">
                                    <a:schemeClr val="accent4">
                                      <a:shade val="85000"/>
                                      <a:satMod val="255000"/>
                                    </a:schemeClr>
                                  </a:gs>
                                  <a:gs pos="100000">
                                    <a:schemeClr val="accent4">
                                      <a:shade val="20000"/>
                                      <a:satMod val="245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reflection blurRad="12700" stA="28000" endPos="45000" dist="1000" dir="5400000" sy="-100000" algn="bl" rotWithShape="0"/>
                              </a:effectLst>
                              <a:uLnTx/>
                              <a:uFillTx/>
                              <a:latin typeface="Times New Roman" pitchFamily="18" charset="0"/>
                              <a:ea typeface="+mj-ea"/>
                              <a:cs typeface="Times New Roman" pitchFamily="18" charset="0"/>
                            </a:rPr>
                            <a:t>роста городов, </a:t>
                          </a:r>
                        </a:p>
                        <a:p>
                          <a:pPr marL="342900" marR="0" lvl="0" indent="-34290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Char char="•"/>
                            <a:tabLst/>
                            <a:defRPr/>
                          </a:pPr>
                          <a:r>
                            <a:rPr kumimoji="0" lang="ru-RU" sz="1100" b="1" i="0" u="none" strike="noStrike" kern="1200" cap="all" normalizeH="0" baseline="0" noProof="0" dirty="0" smtClean="0">
                              <a:ln w="9000" cmpd="sng">
                                <a:solidFill>
                                  <a:schemeClr val="accent4">
                                    <a:shade val="50000"/>
                                    <a:satMod val="120000"/>
                                  </a:scheme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chemeClr val="accent4">
                                      <a:shade val="20000"/>
                                      <a:satMod val="245000"/>
                                    </a:schemeClr>
                                  </a:gs>
                                  <a:gs pos="43000">
                                    <a:schemeClr val="accent4">
                                      <a:satMod val="255000"/>
                                    </a:schemeClr>
                                  </a:gs>
                                  <a:gs pos="48000">
                                    <a:schemeClr val="accent4">
                                      <a:shade val="85000"/>
                                      <a:satMod val="255000"/>
                                    </a:schemeClr>
                                  </a:gs>
                                  <a:gs pos="100000">
                                    <a:schemeClr val="accent4">
                                      <a:shade val="20000"/>
                                      <a:satMod val="245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reflection blurRad="12700" stA="28000" endPos="45000" dist="1000" dir="5400000" sy="-100000" algn="bl" rotWithShape="0"/>
                              </a:effectLst>
                              <a:uLnTx/>
                              <a:uFillTx/>
                              <a:latin typeface="Times New Roman" pitchFamily="18" charset="0"/>
                              <a:ea typeface="+mj-ea"/>
                              <a:cs typeface="Times New Roman" pitchFamily="18" charset="0"/>
                            </a:rPr>
                            <a:t>возникновения и накопления излишков продукции</a:t>
                          </a:r>
                          <a:endParaRPr kumimoji="0" lang="ru-RU" sz="1100" b="1" i="0" u="none" strike="noStrike" kern="1200" cap="all" normalizeH="0" baseline="0" noProof="0" dirty="0">
                            <a:ln w="9000" cmpd="sng">
                              <a:solidFill>
                                <a:schemeClr val="accent4">
                                  <a:shade val="50000"/>
                                  <a:satMod val="120000"/>
                                </a:schemeClr>
                              </a:solidFill>
                              <a:prstDash val="solid"/>
                            </a:ln>
                            <a:gradFill>
                              <a:gsLst>
                                <a:gs pos="0">
                                  <a:schemeClr val="accent4">
                                    <a:shade val="20000"/>
                                    <a:satMod val="245000"/>
                                  </a:schemeClr>
                                </a:gs>
                                <a:gs pos="43000">
                                  <a:schemeClr val="accent4">
                                    <a:satMod val="255000"/>
                                  </a:schemeClr>
                                </a:gs>
                                <a:gs pos="48000">
                                  <a:schemeClr val="accent4">
                                    <a:shade val="85000"/>
                                    <a:satMod val="255000"/>
                                  </a:schemeClr>
                                </a:gs>
                                <a:gs pos="100000">
                                  <a:schemeClr val="accent4">
                                    <a:shade val="20000"/>
                                    <a:satMod val="245000"/>
                                  </a:schemeClr>
                                </a:gs>
                              </a:gsLst>
                              <a:lin ang="5400000"/>
                            </a:gradFill>
                            <a:effectLst>
                              <a:reflection blurRad="12700" stA="28000" endPos="45000" dist="1000" dir="5400000" sy="-100000" algn="bl" rotWithShape="0"/>
                            </a:effectLst>
                            <a:uLnTx/>
                            <a:uFillTx/>
                            <a:latin typeface="Times New Roman" pitchFamily="18" charset="0"/>
                            <a:ea typeface="+mj-ea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4" name="Рисунок 3" descr="d69c830fbdc0.jpg"/>
                      <a:cNvPicPr>
                        <a:picLocks noChangeAspect="1"/>
                      </a:cNvPicPr>
                    </a:nvPicPr>
                    <a:blipFill>
                      <a:blip r:embed="rId14" cstate="print"/>
                      <a:stretch>
                        <a:fillRect/>
                      </a:stretch>
                    </a:blipFill>
                    <a:spPr>
                      <a:xfrm>
                        <a:off x="3286116" y="1589471"/>
                        <a:ext cx="2714644" cy="1966461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1026" name="Picture 2" descr="C:\Users\Администратор\Desktop\новые\Киевс. русь2.jpg"/>
                      <a:cNvPicPr>
                        <a:picLocks noChangeAspect="1" noChangeArrowheads="1"/>
                      </a:cNvPicPr>
                    </a:nvPicPr>
                    <a:blipFill>
                      <a:blip r:embed="rId15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00034" y="1589471"/>
                        <a:ext cx="2643206" cy="1982405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6" name="Содержимое 2"/>
                      <a:cNvSpPr txBox="1">
                        <a:spLocks/>
                      </a:cNvSpPr>
                    </a:nvSpPr>
                    <a:spPr>
                      <a:xfrm>
                        <a:off x="357158" y="3786190"/>
                        <a:ext cx="8229600" cy="178595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>
                          <a:norm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342900" marR="0" lvl="0" indent="-34290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Char char="•"/>
                            <a:tabLst/>
                            <a:defRPr/>
                          </a:pPr>
                          <a:r>
                            <a:rPr kumimoji="0" lang="ru-RU" sz="1200" i="0" u="none" strike="noStrike" kern="1200" normalizeH="0" baseline="0" noProof="0" dirty="0" smtClean="0">
                              <a:ln w="10541" cmpd="sng">
                                <a:solidFill>
                                  <a:schemeClr val="accent1">
                                    <a:shade val="88000"/>
                                    <a:satMod val="110000"/>
                                  </a:scheme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  <a:gs pos="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50000">
                                    <a:schemeClr val="accent1">
                                      <a:shade val="20000"/>
                                      <a:satMod val="300000"/>
                                    </a:schemeClr>
                                  </a:gs>
                                  <a:gs pos="7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10000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</a:gsLst>
                                <a:lin ang="5400000"/>
                              </a:gradFill>
                              <a:uLnTx/>
                              <a:uFillTx/>
                              <a:latin typeface="Monotype Corsiva" pitchFamily="66" charset="0"/>
                              <a:ea typeface="+mj-ea"/>
                              <a:cs typeface="Times New Roman" pitchFamily="18" charset="0"/>
                            </a:rPr>
                            <a:t>В крупных городах были постоянно действующие торги или </a:t>
                          </a:r>
                          <a:r>
                            <a:rPr kumimoji="0" lang="ru-RU" sz="1200" i="0" u="none" strike="noStrike" kern="1200" normalizeH="0" baseline="0" noProof="0" dirty="0" err="1" smtClean="0">
                              <a:ln w="10541" cmpd="sng">
                                <a:solidFill>
                                  <a:schemeClr val="accent1">
                                    <a:shade val="88000"/>
                                    <a:satMod val="110000"/>
                                  </a:scheme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  <a:gs pos="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50000">
                                    <a:schemeClr val="accent1">
                                      <a:shade val="20000"/>
                                      <a:satMod val="300000"/>
                                    </a:schemeClr>
                                  </a:gs>
                                  <a:gs pos="7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10000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</a:gsLst>
                                <a:lin ang="5400000"/>
                              </a:gradFill>
                              <a:uLnTx/>
                              <a:uFillTx/>
                              <a:latin typeface="Monotype Corsiva" pitchFamily="66" charset="0"/>
                              <a:ea typeface="+mj-ea"/>
                              <a:cs typeface="Times New Roman" pitchFamily="18" charset="0"/>
                            </a:rPr>
                            <a:t>торговища</a:t>
                          </a:r>
                          <a:r>
                            <a:rPr kumimoji="0" lang="ru-RU" sz="1200" i="0" u="none" strike="noStrike" kern="1200" normalizeH="0" baseline="0" noProof="0" dirty="0" smtClean="0">
                              <a:ln w="10541" cmpd="sng">
                                <a:solidFill>
                                  <a:schemeClr val="accent1">
                                    <a:shade val="88000"/>
                                    <a:satMod val="110000"/>
                                  </a:scheme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  <a:gs pos="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50000">
                                    <a:schemeClr val="accent1">
                                      <a:shade val="20000"/>
                                      <a:satMod val="300000"/>
                                    </a:schemeClr>
                                  </a:gs>
                                  <a:gs pos="7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10000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</a:gsLst>
                                <a:lin ang="5400000"/>
                              </a:gradFill>
                              <a:uLnTx/>
                              <a:uFillTx/>
                              <a:latin typeface="Monotype Corsiva" pitchFamily="66" charset="0"/>
                              <a:ea typeface="+mj-ea"/>
                              <a:cs typeface="Times New Roman" pitchFamily="18" charset="0"/>
                            </a:rPr>
                            <a:t> – предшественники ныне существующих рынков</a:t>
                          </a:r>
                        </a:p>
                        <a:p>
                          <a:pPr marL="342900" marR="0" lvl="0" indent="-34290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Char char="•"/>
                            <a:tabLst/>
                            <a:defRPr/>
                          </a:pPr>
                          <a:r>
                            <a:rPr kumimoji="0" lang="ru-RU" sz="1200" i="0" u="none" strike="noStrike" kern="1200" normalizeH="0" baseline="0" noProof="0" dirty="0" smtClean="0">
                              <a:ln w="10541" cmpd="sng">
                                <a:solidFill>
                                  <a:schemeClr val="accent1">
                                    <a:shade val="88000"/>
                                    <a:satMod val="110000"/>
                                  </a:scheme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  <a:gs pos="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50000">
                                    <a:schemeClr val="accent1">
                                      <a:shade val="20000"/>
                                      <a:satMod val="300000"/>
                                    </a:schemeClr>
                                  </a:gs>
                                  <a:gs pos="7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10000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</a:gsLst>
                                <a:lin ang="5400000"/>
                              </a:gradFill>
                              <a:uLnTx/>
                              <a:uFillTx/>
                              <a:latin typeface="Monotype Corsiva" pitchFamily="66" charset="0"/>
                              <a:ea typeface="+mj-ea"/>
                              <a:cs typeface="Times New Roman" pitchFamily="18" charset="0"/>
                            </a:rPr>
                            <a:t>Другой ранней формой торговли были ярмарки. Для них были характерны: </a:t>
                          </a:r>
                        </a:p>
                        <a:p>
                          <a:pPr marL="514350" marR="0" lvl="0" indent="-51435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+mj-lt"/>
                            <a:buAutoNum type="arabicPeriod"/>
                            <a:tabLst/>
                            <a:defRPr/>
                          </a:pPr>
                          <a:r>
                            <a:rPr kumimoji="0" lang="ru-RU" sz="1200" i="0" u="none" strike="noStrike" kern="1200" normalizeH="0" baseline="0" noProof="0" dirty="0" smtClean="0">
                              <a:ln w="10541" cmpd="sng">
                                <a:solidFill>
                                  <a:schemeClr val="accent1">
                                    <a:shade val="88000"/>
                                    <a:satMod val="110000"/>
                                  </a:scheme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  <a:gs pos="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50000">
                                    <a:schemeClr val="accent1">
                                      <a:shade val="20000"/>
                                      <a:satMod val="300000"/>
                                    </a:schemeClr>
                                  </a:gs>
                                  <a:gs pos="7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10000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</a:gsLst>
                                <a:lin ang="5400000"/>
                              </a:gradFill>
                              <a:uLnTx/>
                              <a:uFillTx/>
                              <a:latin typeface="Monotype Corsiva" pitchFamily="66" charset="0"/>
                              <a:ea typeface="+mj-ea"/>
                              <a:cs typeface="Times New Roman" pitchFamily="18" charset="0"/>
                            </a:rPr>
                            <a:t>относительно редкая периодичность, </a:t>
                          </a:r>
                        </a:p>
                        <a:p>
                          <a:pPr marL="514350" marR="0" lvl="0" indent="-51435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+mj-lt"/>
                            <a:buAutoNum type="arabicPeriod"/>
                            <a:tabLst/>
                            <a:defRPr/>
                          </a:pPr>
                          <a:r>
                            <a:rPr kumimoji="0" lang="ru-RU" sz="1200" i="0" u="none" strike="noStrike" kern="1200" normalizeH="0" baseline="0" noProof="0" dirty="0" smtClean="0">
                              <a:ln w="10541" cmpd="sng">
                                <a:solidFill>
                                  <a:schemeClr val="accent1">
                                    <a:shade val="88000"/>
                                    <a:satMod val="110000"/>
                                  </a:scheme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  <a:gs pos="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50000">
                                    <a:schemeClr val="accent1">
                                      <a:shade val="20000"/>
                                      <a:satMod val="300000"/>
                                    </a:schemeClr>
                                  </a:gs>
                                  <a:gs pos="7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10000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</a:gsLst>
                                <a:lin ang="5400000"/>
                              </a:gradFill>
                              <a:uLnTx/>
                              <a:uFillTx/>
                              <a:latin typeface="Monotype Corsiva" pitchFamily="66" charset="0"/>
                              <a:ea typeface="+mj-ea"/>
                              <a:cs typeface="Times New Roman" pitchFamily="18" charset="0"/>
                            </a:rPr>
                            <a:t>большое стечение народа, </a:t>
                          </a:r>
                        </a:p>
                        <a:p>
                          <a:pPr marL="514350" marR="0" lvl="0" indent="-51435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+mj-lt"/>
                            <a:buAutoNum type="arabicPeriod"/>
                            <a:tabLst/>
                            <a:defRPr/>
                          </a:pPr>
                          <a:r>
                            <a:rPr kumimoji="0" lang="ru-RU" sz="1200" i="0" u="none" strike="noStrike" kern="1200" normalizeH="0" baseline="0" noProof="0" dirty="0" smtClean="0">
                              <a:ln w="10541" cmpd="sng">
                                <a:solidFill>
                                  <a:schemeClr val="accent1">
                                    <a:shade val="88000"/>
                                    <a:satMod val="110000"/>
                                  </a:scheme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  <a:gs pos="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50000">
                                    <a:schemeClr val="accent1">
                                      <a:shade val="20000"/>
                                      <a:satMod val="300000"/>
                                    </a:schemeClr>
                                  </a:gs>
                                  <a:gs pos="7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10000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</a:gsLst>
                                <a:lin ang="5400000"/>
                              </a:gradFill>
                              <a:uLnTx/>
                              <a:uFillTx/>
                              <a:latin typeface="Monotype Corsiva" pitchFamily="66" charset="0"/>
                              <a:ea typeface="+mj-ea"/>
                              <a:cs typeface="Times New Roman" pitchFamily="18" charset="0"/>
                            </a:rPr>
                            <a:t>наличие привозных и местных товаров, </a:t>
                          </a:r>
                        </a:p>
                        <a:p>
                          <a:pPr marL="514350" marR="0" lvl="0" indent="-51435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+mj-lt"/>
                            <a:buAutoNum type="arabicPeriod"/>
                            <a:tabLst/>
                            <a:defRPr/>
                          </a:pPr>
                          <a:r>
                            <a:rPr kumimoji="0" lang="ru-RU" sz="1200" i="0" u="none" strike="noStrike" kern="1200" normalizeH="0" baseline="0" noProof="0" dirty="0" smtClean="0">
                              <a:ln w="10541" cmpd="sng">
                                <a:solidFill>
                                  <a:schemeClr val="accent1">
                                    <a:shade val="88000"/>
                                    <a:satMod val="110000"/>
                                  </a:scheme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  <a:gs pos="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50000">
                                    <a:schemeClr val="accent1">
                                      <a:shade val="20000"/>
                                      <a:satMod val="300000"/>
                                    </a:schemeClr>
                                  </a:gs>
                                  <a:gs pos="7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10000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</a:gsLst>
                                <a:lin ang="5400000"/>
                              </a:gradFill>
                              <a:uLnTx/>
                              <a:uFillTx/>
                              <a:latin typeface="Monotype Corsiva" pitchFamily="66" charset="0"/>
                              <a:ea typeface="+mj-ea"/>
                              <a:cs typeface="Times New Roman" pitchFamily="18" charset="0"/>
                            </a:rPr>
                            <a:t>сопровождение торговли увеселительными мероприятиями.</a:t>
                          </a:r>
                        </a:p>
                        <a:p>
                          <a:pPr marL="514350" marR="0" lvl="0" indent="-51435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Char char="•"/>
                            <a:tabLst/>
                            <a:defRPr/>
                          </a:pPr>
                          <a:r>
                            <a:rPr kumimoji="0" lang="ru-RU" sz="1200" i="0" u="none" strike="noStrike" kern="1200" normalizeH="0" baseline="0" noProof="0" dirty="0" smtClean="0">
                              <a:ln w="10541" cmpd="sng">
                                <a:solidFill>
                                  <a:schemeClr val="accent1">
                                    <a:shade val="88000"/>
                                    <a:satMod val="110000"/>
                                  </a:schemeClr>
                                </a:solidFill>
                                <a:prstDash val="solid"/>
                              </a:ln>
                              <a:gradFill>
                                <a:gsLst>
                                  <a:gs pos="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  <a:gs pos="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50000">
                                    <a:schemeClr val="accent1">
                                      <a:shade val="20000"/>
                                      <a:satMod val="300000"/>
                                    </a:schemeClr>
                                  </a:gs>
                                  <a:gs pos="79000">
                                    <a:schemeClr val="accent1">
                                      <a:tint val="52000"/>
                                      <a:satMod val="300000"/>
                                    </a:schemeClr>
                                  </a:gs>
                                  <a:gs pos="100000">
                                    <a:schemeClr val="accent1">
                                      <a:tint val="40000"/>
                                      <a:satMod val="250000"/>
                                    </a:schemeClr>
                                  </a:gs>
                                </a:gsLst>
                                <a:lin ang="5400000"/>
                              </a:gradFill>
                              <a:uLnTx/>
                              <a:uFillTx/>
                              <a:latin typeface="Monotype Corsiva" pitchFamily="66" charset="0"/>
                              <a:ea typeface="+mj-ea"/>
                              <a:cs typeface="Times New Roman" pitchFamily="18" charset="0"/>
                            </a:rPr>
                            <a:t>Торговая деятельность монастырей в ограничивалась внутреннего рынком.</a:t>
                          </a:r>
                          <a:endParaRPr kumimoji="0" lang="ru-RU" sz="1200" i="0" u="none" strike="noStrike" kern="1200" normalizeH="0" baseline="0" noProof="0" dirty="0">
                            <a:ln w="10541" cmpd="sng">
                              <a:solidFill>
                                <a:schemeClr val="accent1">
                                  <a:shade val="88000"/>
                                  <a:satMod val="110000"/>
                                </a:schemeClr>
                              </a:solidFill>
                              <a:prstDash val="solid"/>
                            </a:ln>
                            <a:gradFill>
                              <a:gsLst>
                                <a:gs pos="0">
                                  <a:schemeClr val="accent1">
                                    <a:tint val="40000"/>
                                    <a:satMod val="250000"/>
                                  </a:schemeClr>
                                </a:gs>
                                <a:gs pos="9000">
                                  <a:schemeClr val="accent1">
                                    <a:tint val="52000"/>
                                    <a:satMod val="300000"/>
                                  </a:schemeClr>
                                </a:gs>
                                <a:gs pos="50000">
                                  <a:schemeClr val="accent1">
                                    <a:shade val="20000"/>
                                    <a:satMod val="300000"/>
                                  </a:schemeClr>
                                </a:gs>
                                <a:gs pos="79000">
                                  <a:schemeClr val="accent1">
                                    <a:tint val="52000"/>
                                    <a:satMod val="300000"/>
                                  </a:schemeClr>
                                </a:gs>
                                <a:gs pos="100000">
                                  <a:schemeClr val="accent1">
                                    <a:tint val="40000"/>
                                    <a:satMod val="250000"/>
                                  </a:schemeClr>
                                </a:gs>
                              </a:gsLst>
                              <a:lin ang="5400000"/>
                            </a:gradFill>
                            <a:uLnTx/>
                            <a:uFillTx/>
                            <a:latin typeface="Monotype Corsiva" pitchFamily="66" charset="0"/>
                            <a:ea typeface="+mj-ea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7" name="Рисунок 6" descr="IMGR2.jpg"/>
                      <a:cNvPicPr>
                        <a:picLocks noChangeAspect="1"/>
                      </a:cNvPicPr>
                    </a:nvPicPr>
                    <a:blipFill>
                      <a:blip r:embed="rId16" cstate="print"/>
                      <a:stretch>
                        <a:fillRect/>
                      </a:stretch>
                    </a:blipFill>
                    <a:spPr>
                      <a:xfrm>
                        <a:off x="6143636" y="1589471"/>
                        <a:ext cx="2714644" cy="1928826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8" name="Содержимое 2"/>
                      <a:cNvSpPr txBox="1">
                        <a:spLocks/>
                      </a:cNvSpPr>
                    </a:nvSpPr>
                    <a:spPr>
                      <a:xfrm>
                        <a:off x="357158" y="5572140"/>
                        <a:ext cx="8329642" cy="116751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>
                          <a:norm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342900" marR="0" lvl="0" indent="-34290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None/>
                            <a:tabLst/>
                            <a:defRPr/>
                          </a:pPr>
                          <a:r>
                            <a:rPr kumimoji="0" lang="ru-RU" sz="1400" b="0" i="0" u="sng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Times New Roman" pitchFamily="18" charset="0"/>
                              <a:ea typeface="+mn-ea"/>
                              <a:cs typeface="Times New Roman" pitchFamily="18" charset="0"/>
                            </a:rPr>
                            <a:t>Товары регулярного спроса:</a:t>
                          </a:r>
                        </a:p>
                        <a:p>
                          <a:pPr marL="342900" marR="0" lvl="0" indent="-34290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None/>
                            <a:tabLst/>
                            <a:defRPr/>
                          </a:pPr>
                          <a:endParaRPr kumimoji="0" lang="ru-RU" sz="1050" b="0" i="0" u="none" strike="noStrike" kern="1200" cap="none" spc="0" normalizeH="0" baseline="0" noProof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uLnTx/>
                            <a:uFillTx/>
                            <a:latin typeface="Times New Roman" pitchFamily="18" charset="0"/>
                            <a:ea typeface="+mn-ea"/>
                            <a:cs typeface="Times New Roman" pitchFamily="18" charset="0"/>
                          </a:endParaRPr>
                        </a:p>
                        <a:p>
                          <a:pPr marL="0" marR="0" lvl="0" indent="14288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None/>
                            <a:tabLst/>
                            <a:defRPr/>
                          </a:pPr>
                          <a:r>
                            <a:rPr kumimoji="0" lang="ru-RU" sz="14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uLnTx/>
                              <a:uFillTx/>
                              <a:latin typeface="Times New Roman" pitchFamily="18" charset="0"/>
                              <a:ea typeface="+mn-ea"/>
                              <a:cs typeface="Times New Roman" pitchFamily="18" charset="0"/>
                            </a:rPr>
                            <a:t>зерно ,   хлеб, мед, воск ,благовония,  домашние животные, оружие, изделия из металла ,соль, одежда, меха, полотно, гончарные изделия, древесина и др.    </a:t>
                          </a:r>
                        </a:p>
                        <a:p>
                          <a:pPr marL="342900" marR="0" lvl="0" indent="-34290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None/>
                            <a:tabLst/>
                            <a:defRPr/>
                          </a:pPr>
                          <a:endParaRPr kumimoji="0" lang="ru-RU" sz="1400" b="0" i="0" u="none" strike="noStrike" kern="1200" cap="none" spc="0" normalizeH="0" baseline="0" noProof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uLnTx/>
                            <a:uFillTx/>
                            <a:latin typeface="Times New Roman" pitchFamily="18" charset="0"/>
                            <a:ea typeface="+mn-ea"/>
                            <a:cs typeface="Times New Roman" pitchFamily="18" charset="0"/>
                          </a:endParaRPr>
                        </a:p>
                        <a:p>
                          <a:pPr marL="342900" marR="0" lvl="0" indent="-34290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 typeface="Arial" pitchFamily="34" charset="0"/>
                            <a:buChar char="•"/>
                            <a:tabLst/>
                            <a:defRPr/>
                          </a:pPr>
                          <a:endParaRPr kumimoji="0" lang="ru-RU" sz="1400" b="0" i="0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uLnTx/>
                            <a:uFillTx/>
                            <a:latin typeface="Times New Roman" pitchFamily="18" charset="0"/>
                            <a:ea typeface="+mn-ea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E5208C">
        <w:br w:type="page"/>
      </w:r>
    </w:p>
    <w:p w:rsidR="00AE6EAF" w:rsidRDefault="00AE6EAF" w:rsidP="00E5208C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-281156</wp:posOffset>
            </wp:positionH>
            <wp:positionV relativeFrom="paragraph">
              <wp:posOffset>-316678</wp:posOffset>
            </wp:positionV>
            <wp:extent cx="5937997" cy="3079376"/>
            <wp:effectExtent l="19050" t="0" r="0" b="0"/>
            <wp:wrapNone/>
            <wp:docPr id="14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786842" cy="3500462"/>
                      <a:chOff x="357158" y="142852"/>
                      <a:chExt cx="8786842" cy="3500462"/>
                    </a:xfrm>
                  </a:grpSpPr>
                  <a:sp>
                    <a:nvSpPr>
                      <a:cNvPr id="2" name="Заголовок 1"/>
                      <a:cNvSpPr>
                        <a:spLocks noGrp="1"/>
                      </a:cNvSpPr>
                    </a:nvSpPr>
                    <a:spPr>
                      <a:xfrm>
                        <a:off x="1000100" y="142852"/>
                        <a:ext cx="6615130" cy="84615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ru-RU" sz="2800" dirty="0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Ведущие деятели в области </a:t>
                          </a:r>
                          <a:r>
                            <a:rPr lang="ru-RU" sz="2800" dirty="0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финансов.</a:t>
                          </a:r>
                          <a:endParaRPr lang="ru-RU" sz="2800" dirty="0">
                            <a:solidFill>
                              <a:srgbClr val="FF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2050" name="Picture 2" descr="C:\Users\Администратор\Desktop\новые\рп.jpg"/>
                      <a:cNvPicPr>
                        <a:picLocks noChangeAspect="1" noChangeArrowheads="1"/>
                      </a:cNvPicPr>
                    </a:nvPicPr>
                    <a:blipFill>
                      <a:blip r:embed="rId1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57158" y="1214422"/>
                        <a:ext cx="3238522" cy="2428892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4" name="Содержимое 2"/>
                      <a:cNvSpPr>
                        <a:spLocks noGrp="1"/>
                      </a:cNvSpPr>
                    </a:nvSpPr>
                    <a:spPr>
                      <a:xfrm>
                        <a:off x="3643306" y="1071546"/>
                        <a:ext cx="5500694" cy="214314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>
                          <a:noAutofit/>
                        </a:bodyPr>
                        <a:lstStyle>
                          <a:lvl1pPr marL="342900" indent="-3429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32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143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600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574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»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146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9718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429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886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ts val="0"/>
                            </a:spcBef>
                            <a:buNone/>
                          </a:pPr>
                          <a:r>
                            <a:rPr lang="ru-RU" sz="1400" b="1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Княгиня Ольга </a:t>
                          </a: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провела первую налоговую реформу: </a:t>
                          </a:r>
                        </a:p>
                        <a:p>
                          <a:pPr lvl="0">
                            <a:spcBef>
                              <a:spcPts val="0"/>
                            </a:spcBef>
                          </a:pP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установила единые сроки уплаты дани; </a:t>
                          </a:r>
                        </a:p>
                        <a:p>
                          <a:pPr lvl="0">
                            <a:spcBef>
                              <a:spcPts val="0"/>
                            </a:spcBef>
                          </a:pP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снизила и утвердила размеры налогов; </a:t>
                          </a:r>
                        </a:p>
                        <a:p>
                          <a:pPr lvl="0">
                            <a:spcBef>
                              <a:spcPts val="0"/>
                            </a:spcBef>
                          </a:pP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организовала систему пунктов приема налогов на местах (погосты). </a:t>
                          </a:r>
                        </a:p>
                        <a:p>
                          <a:pPr>
                            <a:spcBef>
                              <a:spcPts val="0"/>
                            </a:spcBef>
                            <a:buNone/>
                          </a:pP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Эта налоговая система просуществовала до Ордынского нашествия. </a:t>
                          </a:r>
                        </a:p>
                        <a:p>
                          <a:pPr>
                            <a:spcBef>
                              <a:spcPts val="0"/>
                            </a:spcBef>
                            <a:buNone/>
                          </a:pP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Так же Ольга была первой православной правительницей.</a:t>
                          </a:r>
                        </a:p>
                        <a:p>
                          <a:pPr>
                            <a:spcBef>
                              <a:spcPts val="0"/>
                            </a:spcBef>
                            <a:buNone/>
                          </a:pP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В </a:t>
                          </a: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988 г. При </a:t>
                          </a:r>
                          <a:r>
                            <a:rPr lang="ru-RU" sz="1400" b="1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князе Владимире Святославовиче </a:t>
                          </a: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было принято крещение Руси.</a:t>
                          </a:r>
                          <a:r>
                            <a:rPr lang="ru-RU" sz="1400" b="1" i="1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Которое способствовало усилению государственной власти, по существу став его идеологической основой. Как тогда, так и позже, ни одно кардинальное событие в экономике не оставалось без внимания и участия православной церкви.</a:t>
                          </a:r>
                        </a:p>
                        <a:p>
                          <a:pPr>
                            <a:spcBef>
                              <a:spcPts val="0"/>
                            </a:spcBef>
                            <a:buNone/>
                          </a:pP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В </a:t>
                          </a: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1113 г. </a:t>
                          </a:r>
                          <a:r>
                            <a:rPr lang="ru-RU" sz="1400" b="1" dirty="0" err="1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Bлaдимиp</a:t>
                          </a:r>
                          <a:r>
                            <a:rPr lang="ru-RU" sz="1400" b="1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 Мономах </a:t>
                          </a: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утвердил первый Устав о резах (процентах), запрещавший паразитическое ростовщичество и долговое рабство.</a:t>
                          </a:r>
                        </a:p>
                        <a:p>
                          <a:pPr>
                            <a:spcBef>
                              <a:spcPts val="0"/>
                            </a:spcBef>
                            <a:buNone/>
                          </a:pP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При </a:t>
                          </a: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князе </a:t>
                          </a:r>
                          <a:r>
                            <a:rPr lang="ru-RU" sz="1400" b="1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Святославе Олеговиче </a:t>
                          </a: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в 1137 г. был издан Устав о «Новых кунах», т.е. деньгах. Это была первая попытка наладить денежное обращение, добиться соразмерности различных монет (куны, </a:t>
                          </a: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наготы, </a:t>
                          </a:r>
                          <a:r>
                            <a:rPr lang="ru-RU" sz="1400" dirty="0" smtClean="0">
                              <a:solidFill>
                                <a:srgbClr val="0000FF"/>
                              </a:solidFill>
                              <a:latin typeface="Monotype Corsiva" pitchFamily="66" charset="0"/>
                              <a:cs typeface="Times New Roman" pitchFamily="18" charset="0"/>
                            </a:rPr>
                            <a:t>резаны) по отношению к гривне.</a:t>
                          </a:r>
                        </a:p>
                        <a:p>
                          <a:pPr>
                            <a:spcBef>
                              <a:spcPts val="0"/>
                            </a:spcBef>
                            <a:buNone/>
                          </a:pPr>
                          <a:endParaRPr lang="ru-RU" sz="1400" dirty="0" smtClean="0">
                            <a:solidFill>
                              <a:srgbClr val="0000FF"/>
                            </a:solidFill>
                            <a:latin typeface="Monotype Corsiva" pitchFamily="66" charset="0"/>
                            <a:cs typeface="Times New Roman" pitchFamily="18" charset="0"/>
                          </a:endParaRPr>
                        </a:p>
                        <a:p>
                          <a:pPr>
                            <a:spcBef>
                              <a:spcPts val="0"/>
                            </a:spcBef>
                          </a:pPr>
                          <a:endParaRPr lang="ru-RU" sz="1400" dirty="0">
                            <a:solidFill>
                              <a:srgbClr val="0000FF"/>
                            </a:solidFill>
                            <a:latin typeface="Monotype Corsiva" pitchFamily="66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AE6EAF" w:rsidRDefault="000A6F10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margin-left:26.15pt;margin-top:167.75pt;width:352.55pt;height:33.85pt;z-index:251669504;mso-position-horizontal-relative:text;mso-position-vertical-relative:text;mso-width-relative:page;mso-height-relative:page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weight:bold;v-text-kern:t" trim="t" fitpath="t" string="Древнерусские князья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2439483</wp:posOffset>
            </wp:positionV>
            <wp:extent cx="5486400" cy="3388659"/>
            <wp:effectExtent l="0" t="0" r="0" b="0"/>
            <wp:wrapNone/>
            <wp:docPr id="15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34400" cy="6583362"/>
                      <a:chOff x="381000" y="274638"/>
                      <a:chExt cx="8534400" cy="6583362"/>
                    </a:xfrm>
                  </a:grpSpPr>
                  <a:sp>
                    <a:nvSpPr>
                      <a:cNvPr id="41986" name="Rectangle 2"/>
                      <a:cNvSpPr>
                        <a:spLocks noGrp="1" noRot="1" noChangeArrowheads="1"/>
                      </a:cNvSpPr>
                    </a:nvSpPr>
                    <a:spPr>
                      <a:xfrm>
                        <a:off x="457200" y="274638"/>
                        <a:ext cx="82296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ru-RU" dirty="0">
                              <a:solidFill>
                                <a:srgbClr val="7030A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</a:rPr>
                            <a:t>Владимир 956-1015гг.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1988" name="Rectangle 4"/>
                      <a:cNvSpPr>
                        <a:spLocks noGrp="1" noChangeArrowheads="1"/>
                      </a:cNvSpPr>
                    </a:nvSpPr>
                    <a:spPr>
                      <a:xfrm>
                        <a:off x="381000" y="1219200"/>
                        <a:ext cx="5715000" cy="56388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>
                          <a:normAutofit/>
                        </a:bodyPr>
                        <a:lstStyle>
                          <a:lvl1pPr marL="342900" indent="-3429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32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143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600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574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»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146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9718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429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886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600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 </a:t>
                          </a:r>
                          <a:r>
                            <a:rPr lang="ru-RU" sz="1800" b="1" u="sng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Деятельность: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-В 980 разгромил войско своего брата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Ярополка и убил его самого.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-Походами на вятичей, радимичей и болгар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укрепил Древнерусское государство.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Завоевал </a:t>
                          </a:r>
                          <a:r>
                            <a:rPr lang="ru-RU" sz="1800" b="1" dirty="0" err="1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Червоную</a:t>
                          </a: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 Русь (Галицию) по обе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стороны Карпат, победил ятвягов.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-Построена первая засечная черта по рекам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b="1" dirty="0" err="1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Стугне</a:t>
                          </a: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, </a:t>
                          </a:r>
                          <a:r>
                            <a:rPr lang="ru-RU" sz="1800" b="1" dirty="0" err="1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Суле</a:t>
                          </a: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 и Десне.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-Начата чеканка монеты на Руси –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"</a:t>
                          </a:r>
                          <a:r>
                            <a:rPr lang="ru-RU" sz="1800" b="1" dirty="0" err="1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серябреников</a:t>
                          </a: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" и "</a:t>
                          </a:r>
                          <a:r>
                            <a:rPr lang="ru-RU" sz="1800" b="1" dirty="0" err="1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златников</a:t>
                          </a: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" Владимира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b="1" dirty="0" err="1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Святославича</a:t>
                          </a: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.</a:t>
                          </a: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-После </a:t>
                          </a:r>
                          <a:r>
                            <a:rPr lang="ru-RU" sz="1800" b="1" dirty="0" err="1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корсунской</a:t>
                          </a: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 истории в 988 начал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христианизацию Руси.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-В девяти крупнейших центрах Руси он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посадил своих сыновей на княжение.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-При Владимире I укрепилась русская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b="1" dirty="0">
                              <a:solidFill>
                                <a:srgbClr val="0000FF"/>
                              </a:solidFill>
                              <a:latin typeface="Monotype Corsiva" pitchFamily="66" charset="0"/>
                            </a:rPr>
                            <a:t>Государственность.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endParaRPr lang="ru-RU" sz="1800" b="1" dirty="0">
                            <a:solidFill>
                              <a:srgbClr val="0000FF"/>
                            </a:solidFill>
                            <a:latin typeface="Monotype Corsiva" pitchFamily="66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41990" name="Picture 6" descr="IconKnVladimira9"/>
                      <a:cNvPicPr>
                        <a:picLocks noChangeAspect="1" noChangeArrowheads="1"/>
                      </a:cNvPicPr>
                    </a:nvPicPr>
                    <a:blipFill>
                      <a:blip r:embed="rId18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715000" y="2438400"/>
                        <a:ext cx="2895600" cy="3952875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41991" name="Rectangle 7"/>
                      <a:cNvSpPr>
                        <a:spLocks noChangeArrowheads="1"/>
                      </a:cNvSpPr>
                    </a:nvSpPr>
                    <a:spPr bwMode="auto">
                      <a:xfrm>
                        <a:off x="5867400" y="1219200"/>
                        <a:ext cx="3048000" cy="113877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1700" dirty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</a:rPr>
                            <a:t>Владимир I </a:t>
                          </a:r>
                          <a:r>
                            <a:rPr lang="ru-RU" sz="1700" dirty="0" err="1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</a:rPr>
                            <a:t>Святославич</a:t>
                          </a:r>
                          <a:r>
                            <a:rPr lang="ru-RU" sz="1700" dirty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</a:rPr>
                            <a:t> (Святой, Великий, Красно солнышко, Равноапостольный)  - великий князь киевский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5558790</wp:posOffset>
            </wp:positionV>
            <wp:extent cx="5526405" cy="3966845"/>
            <wp:effectExtent l="0" t="0" r="0" b="0"/>
            <wp:wrapNone/>
            <wp:docPr id="16" name="Объект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82000" cy="6400800"/>
                      <a:chOff x="457200" y="457200"/>
                      <a:chExt cx="8382000" cy="6400800"/>
                    </a:xfrm>
                  </a:grpSpPr>
                  <a:sp>
                    <a:nvSpPr>
                      <a:cNvPr id="40962" name="Rectangle 2"/>
                      <a:cNvSpPr>
                        <a:spLocks noGrp="1" noRot="1" noChangeArrowheads="1"/>
                      </a:cNvSpPr>
                    </a:nvSpPr>
                    <a:spPr>
                      <a:xfrm>
                        <a:off x="762000" y="457200"/>
                        <a:ext cx="6553200" cy="6858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 fontScale="90000"/>
                          <a:scene3d>
                            <a:camera prst="orthographicFront"/>
                            <a:lightRig rig="soft" dir="tl">
                              <a:rot lat="0" lon="0" rev="0"/>
                            </a:lightRig>
                          </a:scene3d>
                          <a:sp3d contourW="25400" prstMaterial="matte">
                            <a:bevelT w="25400" h="55880" prst="artDeco"/>
                            <a:contourClr>
                              <a:schemeClr val="accent2">
                                <a:tint val="20000"/>
                              </a:schemeClr>
                            </a:contourClr>
                          </a:sp3d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ru-RU" sz="4800" b="1" spc="50" dirty="0">
                              <a:ln w="11430"/>
                              <a:gradFill>
                                <a:gsLst>
                                  <a:gs pos="25000">
                                    <a:schemeClr val="accent2">
                                      <a:satMod val="155000"/>
                                    </a:schemeClr>
                                  </a:gs>
                                  <a:gs pos="100000">
                                    <a:schemeClr val="accent2">
                                      <a:shade val="45000"/>
                                      <a:satMod val="165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outerShdw blurRad="76200" dist="50800" dir="5400000" algn="tl" rotWithShape="0">
                                  <a:srgbClr val="000000">
                                    <a:alpha val="65000"/>
                                  </a:srgbClr>
                                </a:outerShdw>
                              </a:effectLst>
                              <a:latin typeface="Times New Roman" pitchFamily="18" charset="0"/>
                            </a:rPr>
                            <a:t>Святослав 962-972 гг. 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0964" name="Rectangle 4"/>
                      <a:cNvSpPr>
                        <a:spLocks noGrp="1" noChangeArrowheads="1"/>
                      </a:cNvSpPr>
                    </a:nvSpPr>
                    <a:spPr>
                      <a:xfrm>
                        <a:off x="457200" y="1295400"/>
                        <a:ext cx="5257800" cy="55626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>
                          <a:normAutofit lnSpcReduction="10000"/>
                        </a:bodyPr>
                        <a:lstStyle>
                          <a:lvl1pPr marL="342900" indent="-3429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32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143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600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574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»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146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9718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429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886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Деятельность: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-Завершение процесса объединения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восточнославянских племен после подчинения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вятичей.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-Активная внешняя политика Киевской Руси.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-Стремление расширить территорию Руси и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обеспечить безопасность восточных торговых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путей для русских купцов.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-Разгром Волжской Болгарии и Хазарского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каганата.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-Война и разгром Дунайской Болгарии, переход к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Руси земель, расположенных по нижнему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течению Дуная.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-970-971 гг. - </a:t>
                          </a:r>
                          <a:r>
                            <a:rPr lang="ru-RU" sz="1800" dirty="0" err="1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русско</a:t>
                          </a: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 - византийская война;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поражение Руси.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-Подписание мирного договора -Русь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обязывалась не нападать на Византию и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Болгарию.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-Византия признавала за Русью её завоевания в 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Поволжье и Причерноморье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r>
                            <a:rPr lang="ru-RU" sz="1800" dirty="0">
                              <a:solidFill>
                                <a:srgbClr val="0000FF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Monotype Corsiva" pitchFamily="66" charset="0"/>
                            </a:rPr>
                            <a:t>-Расширение и укрепление границ Киевской Руси</a:t>
                          </a:r>
                        </a:p>
                        <a:p>
                          <a:pPr>
                            <a:lnSpc>
                              <a:spcPct val="80000"/>
                            </a:lnSpc>
                            <a:buFont typeface="Wingdings" pitchFamily="2" charset="2"/>
                            <a:buNone/>
                          </a:pPr>
                          <a:endParaRPr lang="ru-RU" sz="1600" b="1" dirty="0">
                            <a:latin typeface="Times New Roman" pitchFamily="18" charset="0"/>
                          </a:endParaRPr>
                        </a:p>
                        <a:p>
                          <a:pPr>
                            <a:lnSpc>
                              <a:spcPct val="80000"/>
                            </a:lnSpc>
                          </a:pPr>
                          <a:endParaRPr lang="ru-RU" sz="1600" dirty="0">
                            <a:latin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0967" name="Rectangle 7"/>
                      <a:cNvSpPr>
                        <a:spLocks noChangeArrowheads="1"/>
                      </a:cNvSpPr>
                    </a:nvSpPr>
                    <a:spPr bwMode="auto">
                      <a:xfrm>
                        <a:off x="5562600" y="1371600"/>
                        <a:ext cx="3276600" cy="107721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1600" dirty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Святослав Игоревич (957-972) - киевский князь, первым из Рюриковичей носивший славянское имя, сын Игоря и Ольги.</a:t>
                          </a:r>
                        </a:p>
                      </a:txBody>
                      <a:useSpRect/>
                    </a:txSp>
                  </a:sp>
                  <a:pic>
                    <a:nvPicPr>
                      <a:cNvPr id="40969" name="Picture 9"/>
                      <a:cNvPicPr>
                        <a:picLocks noChangeAspect="1" noChangeArrowheads="1"/>
                      </a:cNvPicPr>
                    </a:nvPicPr>
                    <a:blipFill>
                      <a:blip r:embed="rId19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486400" y="2743200"/>
                        <a:ext cx="3276600" cy="3676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</lc:lockedCanvas>
              </a:graphicData>
            </a:graphic>
          </wp:anchor>
        </w:drawing>
      </w:r>
      <w:r w:rsidR="00AE6EAF">
        <w:br w:type="page"/>
      </w:r>
    </w:p>
    <w:p w:rsidR="00AE6EAF" w:rsidRDefault="00AE6EAF" w:rsidP="00E5208C"/>
    <w:p w:rsidR="00AE6EAF" w:rsidRDefault="00F005B9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4577080</wp:posOffset>
            </wp:positionV>
            <wp:extent cx="5595620" cy="4020185"/>
            <wp:effectExtent l="19050" t="0" r="5080" b="0"/>
            <wp:wrapNone/>
            <wp:docPr id="1" name="Рисунок 1" descr="C:\Users\Администратор\Desktop\новые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ые\img1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6838" t="3125" b="7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20" cy="402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-611729</wp:posOffset>
            </wp:positionH>
            <wp:positionV relativeFrom="paragraph">
              <wp:posOffset>72801</wp:posOffset>
            </wp:positionV>
            <wp:extent cx="6895614" cy="4195482"/>
            <wp:effectExtent l="0" t="0" r="0" b="0"/>
            <wp:wrapNone/>
            <wp:docPr id="2" name="Организационная диаграм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anchor>
        </w:drawing>
      </w:r>
      <w:r w:rsidR="00AE6EAF">
        <w:br w:type="page"/>
      </w:r>
      <w:r w:rsidR="00C148A6" w:rsidRPr="00C148A6"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-4370</wp:posOffset>
            </wp:positionH>
            <wp:positionV relativeFrom="paragraph">
              <wp:posOffset>-317164</wp:posOffset>
            </wp:positionV>
            <wp:extent cx="5943600" cy="820271"/>
            <wp:effectExtent l="0" t="0" r="0" b="0"/>
            <wp:wrapNone/>
            <wp:docPr id="17" name="Объект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1143000"/>
                      <a:chOff x="457200" y="533400"/>
                      <a:chExt cx="8229600" cy="1143000"/>
                    </a:xfrm>
                  </a:grpSpPr>
                  <a:sp>
                    <a:nvSpPr>
                      <a:cNvPr id="50189" name="Rectangle 13"/>
                      <a:cNvSpPr>
                        <a:spLocks noGrp="1" noRot="1" noChangeArrowheads="1"/>
                      </a:cNvSpPr>
                    </a:nvSpPr>
                    <a:spPr>
                      <a:xfrm>
                        <a:off x="457200" y="533400"/>
                        <a:ext cx="82296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ru-RU" sz="2800" b="1" dirty="0">
                              <a:ln w="1905"/>
                              <a:gradFill>
                                <a:gsLst>
                                  <a:gs pos="0">
                                    <a:schemeClr val="accent6">
                                      <a:shade val="20000"/>
                                      <a:satMod val="200000"/>
                                    </a:schemeClr>
                                  </a:gs>
                                  <a:gs pos="78000">
                                    <a:schemeClr val="accent6">
                                      <a:tint val="90000"/>
                                      <a:shade val="89000"/>
                                      <a:satMod val="220000"/>
                                    </a:schemeClr>
                                  </a:gs>
                                  <a:gs pos="100000">
                                    <a:schemeClr val="accent6">
                                      <a:tint val="12000"/>
                                      <a:satMod val="255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innerShdw blurRad="69850" dist="43180" dir="5400000">
                                  <a:srgbClr val="000000">
                                    <a:alpha val="65000"/>
                                  </a:srgbClr>
                                </a:innerShdw>
                              </a:effectLst>
                            </a:rPr>
                            <a:t>Основные направления внешней политики первых русских князей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1578BD" w:rsidRPr="00E5208C" w:rsidRDefault="001578BD" w:rsidP="00E5208C"/>
    <w:sectPr w:rsidR="001578BD" w:rsidRPr="00E5208C" w:rsidSect="000A6F10">
      <w:pgSz w:w="11906" w:h="16838"/>
      <w:pgMar w:top="1134" w:right="850" w:bottom="1134" w:left="1701" w:header="708" w:footer="708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08C" w:rsidRDefault="00E5208C" w:rsidP="00E5208C">
      <w:pPr>
        <w:spacing w:after="0" w:line="240" w:lineRule="auto"/>
      </w:pPr>
      <w:r>
        <w:separator/>
      </w:r>
    </w:p>
  </w:endnote>
  <w:endnote w:type="continuationSeparator" w:id="1">
    <w:p w:rsidR="00E5208C" w:rsidRDefault="00E5208C" w:rsidP="00E5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08C" w:rsidRDefault="00E5208C" w:rsidP="00E5208C">
      <w:pPr>
        <w:spacing w:after="0" w:line="240" w:lineRule="auto"/>
      </w:pPr>
      <w:r>
        <w:separator/>
      </w:r>
    </w:p>
  </w:footnote>
  <w:footnote w:type="continuationSeparator" w:id="1">
    <w:p w:rsidR="00E5208C" w:rsidRDefault="00E5208C" w:rsidP="00E520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208C"/>
    <w:rsid w:val="000A6F10"/>
    <w:rsid w:val="001578BD"/>
    <w:rsid w:val="002506ED"/>
    <w:rsid w:val="00542A21"/>
    <w:rsid w:val="00971C27"/>
    <w:rsid w:val="00AE6EAF"/>
    <w:rsid w:val="00C148A6"/>
    <w:rsid w:val="00E5208C"/>
    <w:rsid w:val="00F00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s1030">
          <o:proxy start="" idref="#_s1032" connectloc="0"/>
          <o:proxy end="" idref="#_s1031" connectloc="2"/>
        </o:r>
        <o:r id="V:Rule2" type="connector" idref="#_s1028">
          <o:proxy start="" idref="#_s1034" connectloc="0"/>
          <o:proxy end="" idref="#_s1031" connectloc="2"/>
        </o:r>
        <o:r id="V:Rule3" type="connector" idref="#_s1029">
          <o:proxy start="" idref="#_s1033" connectloc="0"/>
          <o:proxy end="" idref="#_s1031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B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0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52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208C"/>
  </w:style>
  <w:style w:type="paragraph" w:styleId="a7">
    <w:name w:val="footer"/>
    <w:basedOn w:val="a"/>
    <w:link w:val="a8"/>
    <w:uiPriority w:val="99"/>
    <w:semiHidden/>
    <w:unhideWhenUsed/>
    <w:rsid w:val="00E52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2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diagramData" Target="diagrams/data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24" Type="http://schemas.openxmlformats.org/officeDocument/2006/relationships/diagramColors" Target="diagrams/colors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diagramQuickStyle" Target="diagrams/quickStyl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A19512E-1FAF-4015-9452-6E4AB74EB959}" type="doc">
      <dgm:prSet loTypeId="urn:microsoft.com/office/officeart/2005/8/layout/orgChart1" loCatId="hierarchy" qsTypeId="urn:microsoft.com/office/officeart/2005/8/quickstyle/simple2" qsCatId="simple" csTypeId="urn:microsoft.com/office/officeart/2005/8/colors/colorful5" csCatId="colorful"/>
      <dgm:spPr/>
    </dgm:pt>
    <dgm:pt modelId="{BBDB81B3-727A-463F-BF62-824335BBD3A5}">
      <dgm:prSet/>
      <dgm:spPr/>
      <dgm:t>
        <a:bodyPr/>
        <a:lstStyle/>
        <a:p>
          <a:pPr marR="0" algn="ctr" rtl="0"/>
          <a:r>
            <a:rPr lang="ru-RU" baseline="0" smtClean="0">
              <a:latin typeface="Arial"/>
            </a:rPr>
            <a:t>Русь</a:t>
          </a:r>
          <a:endParaRPr lang="ru-RU" smtClean="0"/>
        </a:p>
      </dgm:t>
    </dgm:pt>
    <dgm:pt modelId="{BAF352AD-D203-41CE-B6EE-984F047FC31D}" type="parTrans" cxnId="{C4E57606-BAA2-420C-A7B7-4C370320FDDD}">
      <dgm:prSet/>
      <dgm:spPr/>
      <dgm:t>
        <a:bodyPr/>
        <a:lstStyle/>
        <a:p>
          <a:endParaRPr lang="ru-RU"/>
        </a:p>
      </dgm:t>
    </dgm:pt>
    <dgm:pt modelId="{CD4F3C81-1805-49D6-B400-65A0C2BA64AC}" type="sibTrans" cxnId="{C4E57606-BAA2-420C-A7B7-4C370320FDDD}">
      <dgm:prSet/>
      <dgm:spPr/>
      <dgm:t>
        <a:bodyPr/>
        <a:lstStyle/>
        <a:p>
          <a:endParaRPr lang="ru-RU"/>
        </a:p>
      </dgm:t>
    </dgm:pt>
    <dgm:pt modelId="{4FE4F58A-57E9-40D8-96D3-3AF5CD39C844}">
      <dgm:prSet/>
      <dgm:spPr/>
      <dgm:t>
        <a:bodyPr/>
        <a:lstStyle/>
        <a:p>
          <a:pPr marR="0" algn="ctr" rtl="0"/>
          <a:r>
            <a:rPr lang="ru-RU" baseline="0" smtClean="0">
              <a:latin typeface="Arial"/>
            </a:rPr>
            <a:t>Византийская</a:t>
          </a:r>
          <a:endParaRPr lang="ru-RU" baseline="0" smtClean="0">
            <a:latin typeface="Times New Roman"/>
          </a:endParaRPr>
        </a:p>
        <a:p>
          <a:pPr marR="0" algn="ctr" rtl="0"/>
          <a:r>
            <a:rPr lang="ru-RU" baseline="0" smtClean="0">
              <a:latin typeface="Arial"/>
            </a:rPr>
            <a:t>империя</a:t>
          </a:r>
          <a:r>
            <a:rPr lang="ru-RU" baseline="0" smtClean="0">
              <a:latin typeface="Times New Roman"/>
            </a:rPr>
            <a:t> </a:t>
          </a:r>
          <a:endParaRPr lang="ru-RU" smtClean="0"/>
        </a:p>
      </dgm:t>
    </dgm:pt>
    <dgm:pt modelId="{42C4A631-FD3A-42EA-B9CA-98C89B0298FD}" type="parTrans" cxnId="{CE56DADD-7A85-44C7-9E53-775CBB734F96}">
      <dgm:prSet/>
      <dgm:spPr/>
      <dgm:t>
        <a:bodyPr/>
        <a:lstStyle/>
        <a:p>
          <a:endParaRPr lang="ru-RU"/>
        </a:p>
      </dgm:t>
    </dgm:pt>
    <dgm:pt modelId="{36FE6742-13E9-40A2-B00E-78231D2DED23}" type="sibTrans" cxnId="{CE56DADD-7A85-44C7-9E53-775CBB734F96}">
      <dgm:prSet/>
      <dgm:spPr/>
      <dgm:t>
        <a:bodyPr/>
        <a:lstStyle/>
        <a:p>
          <a:endParaRPr lang="ru-RU"/>
        </a:p>
      </dgm:t>
    </dgm:pt>
    <dgm:pt modelId="{C41C2277-A1E5-4550-8B58-E3810574D094}">
      <dgm:prSet/>
      <dgm:spPr/>
      <dgm:t>
        <a:bodyPr/>
        <a:lstStyle/>
        <a:p>
          <a:pPr marR="0" algn="ctr" rtl="0"/>
          <a:r>
            <a:rPr lang="ru-RU" baseline="0" smtClean="0">
              <a:latin typeface="Arial"/>
            </a:rPr>
            <a:t>Хазарский</a:t>
          </a:r>
          <a:r>
            <a:rPr lang="ru-RU" baseline="0" smtClean="0">
              <a:latin typeface="Times New Roman"/>
            </a:rPr>
            <a:t> </a:t>
          </a:r>
        </a:p>
        <a:p>
          <a:pPr marR="0" algn="ctr" rtl="0"/>
          <a:r>
            <a:rPr lang="ru-RU" baseline="0" smtClean="0">
              <a:latin typeface="Arial"/>
            </a:rPr>
            <a:t>каганат</a:t>
          </a:r>
          <a:endParaRPr lang="ru-RU" smtClean="0"/>
        </a:p>
      </dgm:t>
    </dgm:pt>
    <dgm:pt modelId="{34DD312B-1D76-4AF7-958B-F880720C9336}" type="parTrans" cxnId="{8CE1E8C3-0FD0-4821-979C-16F695A5F5F5}">
      <dgm:prSet/>
      <dgm:spPr/>
      <dgm:t>
        <a:bodyPr/>
        <a:lstStyle/>
        <a:p>
          <a:endParaRPr lang="ru-RU"/>
        </a:p>
      </dgm:t>
    </dgm:pt>
    <dgm:pt modelId="{E6895EDD-71A4-41DC-80D7-034BC227F431}" type="sibTrans" cxnId="{8CE1E8C3-0FD0-4821-979C-16F695A5F5F5}">
      <dgm:prSet/>
      <dgm:spPr/>
      <dgm:t>
        <a:bodyPr/>
        <a:lstStyle/>
        <a:p>
          <a:endParaRPr lang="ru-RU"/>
        </a:p>
      </dgm:t>
    </dgm:pt>
    <dgm:pt modelId="{D64070B4-D165-45FB-9437-A5A97054234A}">
      <dgm:prSet/>
      <dgm:spPr/>
      <dgm:t>
        <a:bodyPr/>
        <a:lstStyle/>
        <a:p>
          <a:pPr marR="0" algn="ctr" rtl="0"/>
          <a:r>
            <a:rPr lang="ru-RU" baseline="0" smtClean="0">
              <a:latin typeface="Arial"/>
            </a:rPr>
            <a:t>Печенеги</a:t>
          </a:r>
          <a:endParaRPr lang="ru-RU" smtClean="0"/>
        </a:p>
      </dgm:t>
    </dgm:pt>
    <dgm:pt modelId="{7679D7C1-45A4-495D-96A9-FEB6EE6592D8}" type="parTrans" cxnId="{F734D613-22DC-43E4-AC72-BEFA6CE36AE1}">
      <dgm:prSet/>
      <dgm:spPr/>
      <dgm:t>
        <a:bodyPr/>
        <a:lstStyle/>
        <a:p>
          <a:endParaRPr lang="ru-RU"/>
        </a:p>
      </dgm:t>
    </dgm:pt>
    <dgm:pt modelId="{A57FDFA6-53F8-4617-85EE-64E905445F96}" type="sibTrans" cxnId="{F734D613-22DC-43E4-AC72-BEFA6CE36AE1}">
      <dgm:prSet/>
      <dgm:spPr/>
      <dgm:t>
        <a:bodyPr/>
        <a:lstStyle/>
        <a:p>
          <a:endParaRPr lang="ru-RU"/>
        </a:p>
      </dgm:t>
    </dgm:pt>
    <dgm:pt modelId="{BCC01275-6869-449D-A104-025D7C1A466E}" type="pres">
      <dgm:prSet presAssocID="{5A19512E-1FAF-4015-9452-6E4AB74EB95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6716F72-D160-47E5-B53B-68EE0DDAA732}" type="pres">
      <dgm:prSet presAssocID="{BBDB81B3-727A-463F-BF62-824335BBD3A5}" presName="hierRoot1" presStyleCnt="0">
        <dgm:presLayoutVars>
          <dgm:hierBranch/>
        </dgm:presLayoutVars>
      </dgm:prSet>
      <dgm:spPr/>
    </dgm:pt>
    <dgm:pt modelId="{A799840A-3DF2-4305-87C5-342019EB73A3}" type="pres">
      <dgm:prSet presAssocID="{BBDB81B3-727A-463F-BF62-824335BBD3A5}" presName="rootComposite1" presStyleCnt="0"/>
      <dgm:spPr/>
    </dgm:pt>
    <dgm:pt modelId="{FBAD4407-2309-4865-AC20-E04B5CCCAB8A}" type="pres">
      <dgm:prSet presAssocID="{BBDB81B3-727A-463F-BF62-824335BBD3A5}" presName="rootText1" presStyleLbl="node0" presStyleIdx="0" presStyleCnt="1" custLinFactNeighborX="1334" custLinFactNeighborY="-28015">
        <dgm:presLayoutVars>
          <dgm:chPref val="3"/>
        </dgm:presLayoutVars>
      </dgm:prSet>
      <dgm:spPr/>
    </dgm:pt>
    <dgm:pt modelId="{969A6820-8047-4D00-96AF-B4E19D27BA13}" type="pres">
      <dgm:prSet presAssocID="{BBDB81B3-727A-463F-BF62-824335BBD3A5}" presName="rootConnector1" presStyleLbl="node1" presStyleIdx="0" presStyleCnt="0"/>
      <dgm:spPr/>
    </dgm:pt>
    <dgm:pt modelId="{C8C08808-8B3A-4AD6-A4E6-4277E141C0E1}" type="pres">
      <dgm:prSet presAssocID="{BBDB81B3-727A-463F-BF62-824335BBD3A5}" presName="hierChild2" presStyleCnt="0"/>
      <dgm:spPr/>
    </dgm:pt>
    <dgm:pt modelId="{F8CF4411-8D0D-46EF-A1C9-A0B344A6327A}" type="pres">
      <dgm:prSet presAssocID="{42C4A631-FD3A-42EA-B9CA-98C89B0298FD}" presName="Name35" presStyleLbl="parChTrans1D2" presStyleIdx="0" presStyleCnt="3"/>
      <dgm:spPr/>
    </dgm:pt>
    <dgm:pt modelId="{8E9FCC27-750D-478C-BC3C-61540020CE75}" type="pres">
      <dgm:prSet presAssocID="{4FE4F58A-57E9-40D8-96D3-3AF5CD39C844}" presName="hierRoot2" presStyleCnt="0">
        <dgm:presLayoutVars>
          <dgm:hierBranch/>
        </dgm:presLayoutVars>
      </dgm:prSet>
      <dgm:spPr/>
    </dgm:pt>
    <dgm:pt modelId="{0DEAA5E4-B310-4FA9-89AB-6823631AE3A1}" type="pres">
      <dgm:prSet presAssocID="{4FE4F58A-57E9-40D8-96D3-3AF5CD39C844}" presName="rootComposite" presStyleCnt="0"/>
      <dgm:spPr/>
    </dgm:pt>
    <dgm:pt modelId="{C808E3C3-2F13-4874-ABE9-F7D9B72BA884}" type="pres">
      <dgm:prSet presAssocID="{4FE4F58A-57E9-40D8-96D3-3AF5CD39C844}" presName="rootText" presStyleLbl="node2" presStyleIdx="0" presStyleCnt="3" custLinFactNeighborX="12006">
        <dgm:presLayoutVars>
          <dgm:chPref val="3"/>
        </dgm:presLayoutVars>
      </dgm:prSet>
      <dgm:spPr/>
    </dgm:pt>
    <dgm:pt modelId="{AE4F92F5-DF6C-4795-920C-DE1EC85A6B36}" type="pres">
      <dgm:prSet presAssocID="{4FE4F58A-57E9-40D8-96D3-3AF5CD39C844}" presName="rootConnector" presStyleLbl="node2" presStyleIdx="0" presStyleCnt="3"/>
      <dgm:spPr/>
    </dgm:pt>
    <dgm:pt modelId="{540CD193-8BED-4E3E-BAD1-A9A3E46CFC6F}" type="pres">
      <dgm:prSet presAssocID="{4FE4F58A-57E9-40D8-96D3-3AF5CD39C844}" presName="hierChild4" presStyleCnt="0"/>
      <dgm:spPr/>
    </dgm:pt>
    <dgm:pt modelId="{CDB80F01-4B40-4A62-A6F5-51658F2204A8}" type="pres">
      <dgm:prSet presAssocID="{4FE4F58A-57E9-40D8-96D3-3AF5CD39C844}" presName="hierChild5" presStyleCnt="0"/>
      <dgm:spPr/>
    </dgm:pt>
    <dgm:pt modelId="{CDF6F539-90A8-4E59-88CC-7E7ECFB6B86E}" type="pres">
      <dgm:prSet presAssocID="{34DD312B-1D76-4AF7-958B-F880720C9336}" presName="Name35" presStyleLbl="parChTrans1D2" presStyleIdx="1" presStyleCnt="3"/>
      <dgm:spPr/>
    </dgm:pt>
    <dgm:pt modelId="{D0DED589-7AB3-4548-95F2-DD190CAD3CA8}" type="pres">
      <dgm:prSet presAssocID="{C41C2277-A1E5-4550-8B58-E3810574D094}" presName="hierRoot2" presStyleCnt="0">
        <dgm:presLayoutVars>
          <dgm:hierBranch/>
        </dgm:presLayoutVars>
      </dgm:prSet>
      <dgm:spPr/>
    </dgm:pt>
    <dgm:pt modelId="{691C98A0-1D85-4ECE-9338-5786C07E78CF}" type="pres">
      <dgm:prSet presAssocID="{C41C2277-A1E5-4550-8B58-E3810574D094}" presName="rootComposite" presStyleCnt="0"/>
      <dgm:spPr/>
    </dgm:pt>
    <dgm:pt modelId="{A13F52A5-99C3-4EBF-BE8A-2A625169CD15}" type="pres">
      <dgm:prSet presAssocID="{C41C2277-A1E5-4550-8B58-E3810574D094}" presName="rootText" presStyleLbl="node2" presStyleIdx="1" presStyleCnt="3">
        <dgm:presLayoutVars>
          <dgm:chPref val="3"/>
        </dgm:presLayoutVars>
      </dgm:prSet>
      <dgm:spPr/>
    </dgm:pt>
    <dgm:pt modelId="{8DD66D37-3636-4C4F-BAD6-B7E1CAF09B1C}" type="pres">
      <dgm:prSet presAssocID="{C41C2277-A1E5-4550-8B58-E3810574D094}" presName="rootConnector" presStyleLbl="node2" presStyleIdx="1" presStyleCnt="3"/>
      <dgm:spPr/>
    </dgm:pt>
    <dgm:pt modelId="{D49B2E77-B5B8-4A3A-B406-9D96772E55C4}" type="pres">
      <dgm:prSet presAssocID="{C41C2277-A1E5-4550-8B58-E3810574D094}" presName="hierChild4" presStyleCnt="0"/>
      <dgm:spPr/>
    </dgm:pt>
    <dgm:pt modelId="{F7BABBBC-16E2-4DD8-9065-BC0DC18288A3}" type="pres">
      <dgm:prSet presAssocID="{C41C2277-A1E5-4550-8B58-E3810574D094}" presName="hierChild5" presStyleCnt="0"/>
      <dgm:spPr/>
    </dgm:pt>
    <dgm:pt modelId="{84B30C0B-1ED3-43A0-8116-AE87318D191C}" type="pres">
      <dgm:prSet presAssocID="{7679D7C1-45A4-495D-96A9-FEB6EE6592D8}" presName="Name35" presStyleLbl="parChTrans1D2" presStyleIdx="2" presStyleCnt="3"/>
      <dgm:spPr/>
    </dgm:pt>
    <dgm:pt modelId="{0215F499-ACD6-46B7-95A5-F004D0B3604F}" type="pres">
      <dgm:prSet presAssocID="{D64070B4-D165-45FB-9437-A5A97054234A}" presName="hierRoot2" presStyleCnt="0">
        <dgm:presLayoutVars>
          <dgm:hierBranch/>
        </dgm:presLayoutVars>
      </dgm:prSet>
      <dgm:spPr/>
    </dgm:pt>
    <dgm:pt modelId="{F6727230-92D1-4331-A213-C9FBABA5A07F}" type="pres">
      <dgm:prSet presAssocID="{D64070B4-D165-45FB-9437-A5A97054234A}" presName="rootComposite" presStyleCnt="0"/>
      <dgm:spPr/>
    </dgm:pt>
    <dgm:pt modelId="{64E3464C-3C52-4F41-AE00-C3734D9D6439}" type="pres">
      <dgm:prSet presAssocID="{D64070B4-D165-45FB-9437-A5A97054234A}" presName="rootText" presStyleLbl="node2" presStyleIdx="2" presStyleCnt="3" custLinFactNeighborX="-11989" custLinFactNeighborY="-1334">
        <dgm:presLayoutVars>
          <dgm:chPref val="3"/>
        </dgm:presLayoutVars>
      </dgm:prSet>
      <dgm:spPr/>
    </dgm:pt>
    <dgm:pt modelId="{BFB15C2D-F932-42D7-9418-6F4C17D0D822}" type="pres">
      <dgm:prSet presAssocID="{D64070B4-D165-45FB-9437-A5A97054234A}" presName="rootConnector" presStyleLbl="node2" presStyleIdx="2" presStyleCnt="3"/>
      <dgm:spPr/>
    </dgm:pt>
    <dgm:pt modelId="{6FA87F69-949D-44F5-BEE2-801A6B3511BC}" type="pres">
      <dgm:prSet presAssocID="{D64070B4-D165-45FB-9437-A5A97054234A}" presName="hierChild4" presStyleCnt="0"/>
      <dgm:spPr/>
    </dgm:pt>
    <dgm:pt modelId="{58C2292F-3B5B-44A7-8B0E-61C53FDA20C6}" type="pres">
      <dgm:prSet presAssocID="{D64070B4-D165-45FB-9437-A5A97054234A}" presName="hierChild5" presStyleCnt="0"/>
      <dgm:spPr/>
    </dgm:pt>
    <dgm:pt modelId="{467924C5-F984-4071-AF2A-0755E23E0214}" type="pres">
      <dgm:prSet presAssocID="{BBDB81B3-727A-463F-BF62-824335BBD3A5}" presName="hierChild3" presStyleCnt="0"/>
      <dgm:spPr/>
    </dgm:pt>
  </dgm:ptLst>
  <dgm:cxnLst>
    <dgm:cxn modelId="{13140970-D768-4441-9ACC-89FABFF16920}" type="presOf" srcId="{42C4A631-FD3A-42EA-B9CA-98C89B0298FD}" destId="{F8CF4411-8D0D-46EF-A1C9-A0B344A6327A}" srcOrd="0" destOrd="0" presId="urn:microsoft.com/office/officeart/2005/8/layout/orgChart1"/>
    <dgm:cxn modelId="{B96B0B87-EFB8-4429-B4E6-105B292F46D3}" type="presOf" srcId="{7679D7C1-45A4-495D-96A9-FEB6EE6592D8}" destId="{84B30C0B-1ED3-43A0-8116-AE87318D191C}" srcOrd="0" destOrd="0" presId="urn:microsoft.com/office/officeart/2005/8/layout/orgChart1"/>
    <dgm:cxn modelId="{A3F5F8BD-87DD-4B2D-A6EA-E809ACB5F62E}" type="presOf" srcId="{BBDB81B3-727A-463F-BF62-824335BBD3A5}" destId="{FBAD4407-2309-4865-AC20-E04B5CCCAB8A}" srcOrd="0" destOrd="0" presId="urn:microsoft.com/office/officeart/2005/8/layout/orgChart1"/>
    <dgm:cxn modelId="{4D67C4AD-7679-481A-BBEE-6E9AFD90161A}" type="presOf" srcId="{C41C2277-A1E5-4550-8B58-E3810574D094}" destId="{A13F52A5-99C3-4EBF-BE8A-2A625169CD15}" srcOrd="0" destOrd="0" presId="urn:microsoft.com/office/officeart/2005/8/layout/orgChart1"/>
    <dgm:cxn modelId="{9964676B-CF5A-40A5-9C68-0EF5F3A63E6A}" type="presOf" srcId="{34DD312B-1D76-4AF7-958B-F880720C9336}" destId="{CDF6F539-90A8-4E59-88CC-7E7ECFB6B86E}" srcOrd="0" destOrd="0" presId="urn:microsoft.com/office/officeart/2005/8/layout/orgChart1"/>
    <dgm:cxn modelId="{8FE742A6-C21F-4575-A098-1EEADB768A8A}" type="presOf" srcId="{5A19512E-1FAF-4015-9452-6E4AB74EB959}" destId="{BCC01275-6869-449D-A104-025D7C1A466E}" srcOrd="0" destOrd="0" presId="urn:microsoft.com/office/officeart/2005/8/layout/orgChart1"/>
    <dgm:cxn modelId="{55FFAA22-9BB3-4133-91FC-7F4E2D57922D}" type="presOf" srcId="{4FE4F58A-57E9-40D8-96D3-3AF5CD39C844}" destId="{C808E3C3-2F13-4874-ABE9-F7D9B72BA884}" srcOrd="0" destOrd="0" presId="urn:microsoft.com/office/officeart/2005/8/layout/orgChart1"/>
    <dgm:cxn modelId="{7537304E-980F-43BD-9A34-B91C93085FA6}" type="presOf" srcId="{D64070B4-D165-45FB-9437-A5A97054234A}" destId="{64E3464C-3C52-4F41-AE00-C3734D9D6439}" srcOrd="0" destOrd="0" presId="urn:microsoft.com/office/officeart/2005/8/layout/orgChart1"/>
    <dgm:cxn modelId="{F4CF25E4-2685-4FC3-AF03-CCCD18E76959}" type="presOf" srcId="{4FE4F58A-57E9-40D8-96D3-3AF5CD39C844}" destId="{AE4F92F5-DF6C-4795-920C-DE1EC85A6B36}" srcOrd="1" destOrd="0" presId="urn:microsoft.com/office/officeart/2005/8/layout/orgChart1"/>
    <dgm:cxn modelId="{4BA17B99-4742-46DD-A259-3EC7D5E73660}" type="presOf" srcId="{BBDB81B3-727A-463F-BF62-824335BBD3A5}" destId="{969A6820-8047-4D00-96AF-B4E19D27BA13}" srcOrd="1" destOrd="0" presId="urn:microsoft.com/office/officeart/2005/8/layout/orgChart1"/>
    <dgm:cxn modelId="{CE56DADD-7A85-44C7-9E53-775CBB734F96}" srcId="{BBDB81B3-727A-463F-BF62-824335BBD3A5}" destId="{4FE4F58A-57E9-40D8-96D3-3AF5CD39C844}" srcOrd="0" destOrd="0" parTransId="{42C4A631-FD3A-42EA-B9CA-98C89B0298FD}" sibTransId="{36FE6742-13E9-40A2-B00E-78231D2DED23}"/>
    <dgm:cxn modelId="{8CE1E8C3-0FD0-4821-979C-16F695A5F5F5}" srcId="{BBDB81B3-727A-463F-BF62-824335BBD3A5}" destId="{C41C2277-A1E5-4550-8B58-E3810574D094}" srcOrd="1" destOrd="0" parTransId="{34DD312B-1D76-4AF7-958B-F880720C9336}" sibTransId="{E6895EDD-71A4-41DC-80D7-034BC227F431}"/>
    <dgm:cxn modelId="{C36F0402-4C7F-4FCB-9EC6-995557FD822A}" type="presOf" srcId="{D64070B4-D165-45FB-9437-A5A97054234A}" destId="{BFB15C2D-F932-42D7-9418-6F4C17D0D822}" srcOrd="1" destOrd="0" presId="urn:microsoft.com/office/officeart/2005/8/layout/orgChart1"/>
    <dgm:cxn modelId="{24B0F99C-7ACA-4E91-89A8-D265DEB285E7}" type="presOf" srcId="{C41C2277-A1E5-4550-8B58-E3810574D094}" destId="{8DD66D37-3636-4C4F-BAD6-B7E1CAF09B1C}" srcOrd="1" destOrd="0" presId="urn:microsoft.com/office/officeart/2005/8/layout/orgChart1"/>
    <dgm:cxn modelId="{F734D613-22DC-43E4-AC72-BEFA6CE36AE1}" srcId="{BBDB81B3-727A-463F-BF62-824335BBD3A5}" destId="{D64070B4-D165-45FB-9437-A5A97054234A}" srcOrd="2" destOrd="0" parTransId="{7679D7C1-45A4-495D-96A9-FEB6EE6592D8}" sibTransId="{A57FDFA6-53F8-4617-85EE-64E905445F96}"/>
    <dgm:cxn modelId="{C4E57606-BAA2-420C-A7B7-4C370320FDDD}" srcId="{5A19512E-1FAF-4015-9452-6E4AB74EB959}" destId="{BBDB81B3-727A-463F-BF62-824335BBD3A5}" srcOrd="0" destOrd="0" parTransId="{BAF352AD-D203-41CE-B6EE-984F047FC31D}" sibTransId="{CD4F3C81-1805-49D6-B400-65A0C2BA64AC}"/>
    <dgm:cxn modelId="{8CD6A34E-0913-4B35-A8A8-D6F7B2C4CBB7}" type="presParOf" srcId="{BCC01275-6869-449D-A104-025D7C1A466E}" destId="{A6716F72-D160-47E5-B53B-68EE0DDAA732}" srcOrd="0" destOrd="0" presId="urn:microsoft.com/office/officeart/2005/8/layout/orgChart1"/>
    <dgm:cxn modelId="{27826123-14E4-4949-A9B1-3FA9F0D28A08}" type="presParOf" srcId="{A6716F72-D160-47E5-B53B-68EE0DDAA732}" destId="{A799840A-3DF2-4305-87C5-342019EB73A3}" srcOrd="0" destOrd="0" presId="urn:microsoft.com/office/officeart/2005/8/layout/orgChart1"/>
    <dgm:cxn modelId="{260CCAFA-3243-40BC-8A39-EA2189363C54}" type="presParOf" srcId="{A799840A-3DF2-4305-87C5-342019EB73A3}" destId="{FBAD4407-2309-4865-AC20-E04B5CCCAB8A}" srcOrd="0" destOrd="0" presId="urn:microsoft.com/office/officeart/2005/8/layout/orgChart1"/>
    <dgm:cxn modelId="{0CAF7456-0417-4AA2-AFF0-0BA74D8ABA97}" type="presParOf" srcId="{A799840A-3DF2-4305-87C5-342019EB73A3}" destId="{969A6820-8047-4D00-96AF-B4E19D27BA13}" srcOrd="1" destOrd="0" presId="urn:microsoft.com/office/officeart/2005/8/layout/orgChart1"/>
    <dgm:cxn modelId="{EC93048F-22D7-4140-87C1-502E860F9AFB}" type="presParOf" srcId="{A6716F72-D160-47E5-B53B-68EE0DDAA732}" destId="{C8C08808-8B3A-4AD6-A4E6-4277E141C0E1}" srcOrd="1" destOrd="0" presId="urn:microsoft.com/office/officeart/2005/8/layout/orgChart1"/>
    <dgm:cxn modelId="{08C44C2F-EB6A-4B4F-B591-898F2F32F82F}" type="presParOf" srcId="{C8C08808-8B3A-4AD6-A4E6-4277E141C0E1}" destId="{F8CF4411-8D0D-46EF-A1C9-A0B344A6327A}" srcOrd="0" destOrd="0" presId="urn:microsoft.com/office/officeart/2005/8/layout/orgChart1"/>
    <dgm:cxn modelId="{EFFD69A2-DC43-4F42-8FC2-94B75BDBB85F}" type="presParOf" srcId="{C8C08808-8B3A-4AD6-A4E6-4277E141C0E1}" destId="{8E9FCC27-750D-478C-BC3C-61540020CE75}" srcOrd="1" destOrd="0" presId="urn:microsoft.com/office/officeart/2005/8/layout/orgChart1"/>
    <dgm:cxn modelId="{1C92B1DD-B98C-4153-89AB-C8A6A7A9C014}" type="presParOf" srcId="{8E9FCC27-750D-478C-BC3C-61540020CE75}" destId="{0DEAA5E4-B310-4FA9-89AB-6823631AE3A1}" srcOrd="0" destOrd="0" presId="urn:microsoft.com/office/officeart/2005/8/layout/orgChart1"/>
    <dgm:cxn modelId="{07CEB897-63B2-49A6-AD9A-1654CD349954}" type="presParOf" srcId="{0DEAA5E4-B310-4FA9-89AB-6823631AE3A1}" destId="{C808E3C3-2F13-4874-ABE9-F7D9B72BA884}" srcOrd="0" destOrd="0" presId="urn:microsoft.com/office/officeart/2005/8/layout/orgChart1"/>
    <dgm:cxn modelId="{DAFE0F22-129C-4E18-8F40-B17DE0903A79}" type="presParOf" srcId="{0DEAA5E4-B310-4FA9-89AB-6823631AE3A1}" destId="{AE4F92F5-DF6C-4795-920C-DE1EC85A6B36}" srcOrd="1" destOrd="0" presId="urn:microsoft.com/office/officeart/2005/8/layout/orgChart1"/>
    <dgm:cxn modelId="{68CBC29F-BBA6-45C3-95E2-67074280EC58}" type="presParOf" srcId="{8E9FCC27-750D-478C-BC3C-61540020CE75}" destId="{540CD193-8BED-4E3E-BAD1-A9A3E46CFC6F}" srcOrd="1" destOrd="0" presId="urn:microsoft.com/office/officeart/2005/8/layout/orgChart1"/>
    <dgm:cxn modelId="{E39309B1-851D-4E9B-A5BE-2CEA45A2AA16}" type="presParOf" srcId="{8E9FCC27-750D-478C-BC3C-61540020CE75}" destId="{CDB80F01-4B40-4A62-A6F5-51658F2204A8}" srcOrd="2" destOrd="0" presId="urn:microsoft.com/office/officeart/2005/8/layout/orgChart1"/>
    <dgm:cxn modelId="{783F1C67-A139-493D-AA2B-EEA8F3E8F475}" type="presParOf" srcId="{C8C08808-8B3A-4AD6-A4E6-4277E141C0E1}" destId="{CDF6F539-90A8-4E59-88CC-7E7ECFB6B86E}" srcOrd="2" destOrd="0" presId="urn:microsoft.com/office/officeart/2005/8/layout/orgChart1"/>
    <dgm:cxn modelId="{B50003CF-B2FE-411E-A5F7-F514804BF5EA}" type="presParOf" srcId="{C8C08808-8B3A-4AD6-A4E6-4277E141C0E1}" destId="{D0DED589-7AB3-4548-95F2-DD190CAD3CA8}" srcOrd="3" destOrd="0" presId="urn:microsoft.com/office/officeart/2005/8/layout/orgChart1"/>
    <dgm:cxn modelId="{DA4C9FEE-63F1-4436-ACA1-BBEBAC278A7B}" type="presParOf" srcId="{D0DED589-7AB3-4548-95F2-DD190CAD3CA8}" destId="{691C98A0-1D85-4ECE-9338-5786C07E78CF}" srcOrd="0" destOrd="0" presId="urn:microsoft.com/office/officeart/2005/8/layout/orgChart1"/>
    <dgm:cxn modelId="{C90ED69A-8C09-46F2-BDA0-8ECB61A4DD97}" type="presParOf" srcId="{691C98A0-1D85-4ECE-9338-5786C07E78CF}" destId="{A13F52A5-99C3-4EBF-BE8A-2A625169CD15}" srcOrd="0" destOrd="0" presId="urn:microsoft.com/office/officeart/2005/8/layout/orgChart1"/>
    <dgm:cxn modelId="{B0079632-CBDD-481D-B2BE-A703EC316F0C}" type="presParOf" srcId="{691C98A0-1D85-4ECE-9338-5786C07E78CF}" destId="{8DD66D37-3636-4C4F-BAD6-B7E1CAF09B1C}" srcOrd="1" destOrd="0" presId="urn:microsoft.com/office/officeart/2005/8/layout/orgChart1"/>
    <dgm:cxn modelId="{4780517D-A6CA-4461-B9CD-4408B10E78E5}" type="presParOf" srcId="{D0DED589-7AB3-4548-95F2-DD190CAD3CA8}" destId="{D49B2E77-B5B8-4A3A-B406-9D96772E55C4}" srcOrd="1" destOrd="0" presId="urn:microsoft.com/office/officeart/2005/8/layout/orgChart1"/>
    <dgm:cxn modelId="{8F952939-07C2-4D2B-9DCC-30AD8EEBCFAA}" type="presParOf" srcId="{D0DED589-7AB3-4548-95F2-DD190CAD3CA8}" destId="{F7BABBBC-16E2-4DD8-9065-BC0DC18288A3}" srcOrd="2" destOrd="0" presId="urn:microsoft.com/office/officeart/2005/8/layout/orgChart1"/>
    <dgm:cxn modelId="{9343D9D9-A601-44A8-ACB5-F6B998E47643}" type="presParOf" srcId="{C8C08808-8B3A-4AD6-A4E6-4277E141C0E1}" destId="{84B30C0B-1ED3-43A0-8116-AE87318D191C}" srcOrd="4" destOrd="0" presId="urn:microsoft.com/office/officeart/2005/8/layout/orgChart1"/>
    <dgm:cxn modelId="{F28B26E3-C9C5-4F44-9FBC-1E83DD45A241}" type="presParOf" srcId="{C8C08808-8B3A-4AD6-A4E6-4277E141C0E1}" destId="{0215F499-ACD6-46B7-95A5-F004D0B3604F}" srcOrd="5" destOrd="0" presId="urn:microsoft.com/office/officeart/2005/8/layout/orgChart1"/>
    <dgm:cxn modelId="{5A443F8C-B251-4223-BD47-A9DB3C5B3346}" type="presParOf" srcId="{0215F499-ACD6-46B7-95A5-F004D0B3604F}" destId="{F6727230-92D1-4331-A213-C9FBABA5A07F}" srcOrd="0" destOrd="0" presId="urn:microsoft.com/office/officeart/2005/8/layout/orgChart1"/>
    <dgm:cxn modelId="{C265837C-F414-480A-BABF-3E8B1E8A24F1}" type="presParOf" srcId="{F6727230-92D1-4331-A213-C9FBABA5A07F}" destId="{64E3464C-3C52-4F41-AE00-C3734D9D6439}" srcOrd="0" destOrd="0" presId="urn:microsoft.com/office/officeart/2005/8/layout/orgChart1"/>
    <dgm:cxn modelId="{C57C48B2-D2F6-4649-B2E5-98AFF101AD1D}" type="presParOf" srcId="{F6727230-92D1-4331-A213-C9FBABA5A07F}" destId="{BFB15C2D-F932-42D7-9418-6F4C17D0D822}" srcOrd="1" destOrd="0" presId="urn:microsoft.com/office/officeart/2005/8/layout/orgChart1"/>
    <dgm:cxn modelId="{306DC9B7-C883-49EF-A384-46F66A51874D}" type="presParOf" srcId="{0215F499-ACD6-46B7-95A5-F004D0B3604F}" destId="{6FA87F69-949D-44F5-BEE2-801A6B3511BC}" srcOrd="1" destOrd="0" presId="urn:microsoft.com/office/officeart/2005/8/layout/orgChart1"/>
    <dgm:cxn modelId="{A8CCACFD-41FD-4368-BC5B-86280DF91621}" type="presParOf" srcId="{0215F499-ACD6-46B7-95A5-F004D0B3604F}" destId="{58C2292F-3B5B-44A7-8B0E-61C53FDA20C6}" srcOrd="2" destOrd="0" presId="urn:microsoft.com/office/officeart/2005/8/layout/orgChart1"/>
    <dgm:cxn modelId="{A8DB0C6E-8AFF-4A6E-8F96-F60633485BFC}" type="presParOf" srcId="{A6716F72-D160-47E5-B53B-68EE0DDAA732}" destId="{467924C5-F984-4071-AF2A-0755E23E0214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5</Words>
  <Characters>32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8</cp:revision>
  <dcterms:created xsi:type="dcterms:W3CDTF">2015-10-25T19:38:00Z</dcterms:created>
  <dcterms:modified xsi:type="dcterms:W3CDTF">2015-10-25T20:12:00Z</dcterms:modified>
</cp:coreProperties>
</file>