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9B" w:rsidRPr="008E0F59" w:rsidRDefault="0003659B" w:rsidP="0003659B">
      <w:pPr>
        <w:shd w:val="clear" w:color="auto" w:fill="FFCC99"/>
        <w:jc w:val="center"/>
        <w:rPr>
          <w:rFonts w:ascii="Arial" w:hAnsi="Arial" w:cs="Arial"/>
          <w:b/>
          <w:sz w:val="22"/>
          <w:szCs w:val="22"/>
        </w:rPr>
      </w:pPr>
      <w:r w:rsidRPr="008E0F59">
        <w:rPr>
          <w:rFonts w:ascii="Arial" w:hAnsi="Arial" w:cs="Arial"/>
          <w:b/>
          <w:sz w:val="22"/>
          <w:szCs w:val="22"/>
        </w:rPr>
        <w:t>Аннотация к рабочей программе дисциплины «Математика»</w:t>
      </w:r>
    </w:p>
    <w:p w:rsidR="0003659B" w:rsidRPr="009E4745" w:rsidRDefault="0003659B" w:rsidP="0003659B">
      <w:pPr>
        <w:spacing w:before="60" w:after="60"/>
        <w:ind w:firstLine="709"/>
        <w:jc w:val="center"/>
      </w:pPr>
      <w:r w:rsidRPr="009E4745">
        <w:rPr>
          <w:b/>
        </w:rPr>
        <w:t>УМК «Школа России»</w:t>
      </w:r>
    </w:p>
    <w:p w:rsidR="0003659B" w:rsidRPr="009E4745" w:rsidRDefault="0003659B" w:rsidP="0003659B">
      <w:pPr>
        <w:jc w:val="both"/>
      </w:pPr>
      <w:r w:rsidRPr="009E4745">
        <w:t xml:space="preserve">    Рабочая программа по математике составлена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 авторской программы М. И. Моро, М. А. Бантовой, Г. В. </w:t>
      </w:r>
      <w:proofErr w:type="spellStart"/>
      <w:r w:rsidRPr="009E4745">
        <w:t>Бельтюковой</w:t>
      </w:r>
      <w:proofErr w:type="spellEnd"/>
      <w:r w:rsidRPr="009E4745">
        <w:t xml:space="preserve">, С. И. Волковой, С. В. Степановой, планируемых результатов начального общего образования. Рабочая программа соответствует авторской, однако  в авторской программе на изучение математики во втором классе начальной школы отводится 136 часов, четыре часа в неделю, а при составлении данной программы один час в неделю добавлен из части учебного плана, формируемой участниками образовательного процесса для увеличения количества уроков на повторение и закрепление знаний.  Рабочая программа составлена на 170 часов (34 учебные недели, 5 часов в неделю).                                                                            </w:t>
      </w:r>
    </w:p>
    <w:p w:rsidR="0003659B" w:rsidRPr="009E4745" w:rsidRDefault="0003659B" w:rsidP="0003659B">
      <w:pPr>
        <w:ind w:firstLine="708"/>
        <w:jc w:val="both"/>
      </w:pPr>
    </w:p>
    <w:p w:rsidR="0003659B" w:rsidRPr="009E4745" w:rsidRDefault="0003659B" w:rsidP="0003659B">
      <w:pPr>
        <w:jc w:val="both"/>
      </w:pPr>
      <w:r w:rsidRPr="009E4745">
        <w:rPr>
          <w:b/>
          <w:bCs/>
        </w:rPr>
        <w:t>Цели учебного предмета</w:t>
      </w:r>
      <w:r w:rsidRPr="009E4745">
        <w:t>:</w:t>
      </w:r>
    </w:p>
    <w:p w:rsidR="0003659B" w:rsidRPr="009E4745" w:rsidRDefault="0003659B" w:rsidP="0003659B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4745">
        <w:rPr>
          <w:rFonts w:ascii="Times New Roman" w:hAnsi="Times New Roman" w:cs="Times New Roman"/>
          <w:b/>
          <w:bCs/>
        </w:rPr>
        <w:t xml:space="preserve">развитие </w:t>
      </w:r>
      <w:r w:rsidRPr="009E4745">
        <w:rPr>
          <w:rFonts w:ascii="Times New Roman" w:hAnsi="Times New Roman" w:cs="Times New Roman"/>
        </w:rP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03659B" w:rsidRPr="009E4745" w:rsidRDefault="0003659B" w:rsidP="000365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4745">
        <w:rPr>
          <w:b/>
          <w:bCs/>
        </w:rPr>
        <w:t xml:space="preserve">освоение </w:t>
      </w:r>
      <w:r w:rsidRPr="009E4745"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03659B" w:rsidRPr="009E4745" w:rsidRDefault="0003659B" w:rsidP="0003659B">
      <w:pPr>
        <w:jc w:val="both"/>
        <w:rPr>
          <w:color w:val="333333"/>
        </w:rPr>
      </w:pPr>
      <w:r w:rsidRPr="009E4745">
        <w:rPr>
          <w:b/>
          <w:bCs/>
          <w:color w:val="333333"/>
        </w:rPr>
        <w:t>Задачи учебного предмета</w:t>
      </w:r>
      <w:r w:rsidRPr="009E4745">
        <w:rPr>
          <w:color w:val="333333"/>
        </w:rPr>
        <w:t>: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rPr>
          <w:color w:val="333333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rPr>
          <w:color w:val="333333"/>
        </w:rPr>
        <w:t xml:space="preserve"> развитие основ логического, </w:t>
      </w:r>
      <w:proofErr w:type="spellStart"/>
      <w:r w:rsidRPr="009E4745">
        <w:rPr>
          <w:color w:val="333333"/>
        </w:rPr>
        <w:t>знако-символического</w:t>
      </w:r>
      <w:proofErr w:type="spellEnd"/>
      <w:r w:rsidRPr="009E4745">
        <w:rPr>
          <w:color w:val="333333"/>
        </w:rPr>
        <w:t xml:space="preserve">  и алгоритмического мышления;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rPr>
          <w:color w:val="333333"/>
        </w:rPr>
        <w:t>развитие пространственного воображения;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rPr>
          <w:color w:val="333333"/>
        </w:rPr>
        <w:t>развитие математической речи;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rPr>
          <w:color w:val="333333"/>
        </w:rPr>
        <w:t>формирование системы начальных математических знаний и умений их применение для решения учебно-познавательных и  практических задач;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формирование умения вести поиск информации и работать с ней;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формирование первоначальных представлений о компьютерной грамотности;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развитие познавательных способностей;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воспитание стремления к расширению математических знаний;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формирование критичности мышления;</w:t>
      </w:r>
    </w:p>
    <w:p w:rsidR="0003659B" w:rsidRPr="009E4745" w:rsidRDefault="0003659B" w:rsidP="0003659B">
      <w:pPr>
        <w:numPr>
          <w:ilvl w:val="0"/>
          <w:numId w:val="1"/>
        </w:numPr>
        <w:spacing w:after="200"/>
        <w:jc w:val="both"/>
      </w:pPr>
      <w:r w:rsidRPr="009E4745">
        <w:t>развитие умения аргументировано обосновывать и отстаивать высказанное суждение, оценить и принимать суждение других.</w:t>
      </w:r>
    </w:p>
    <w:p w:rsidR="0003659B" w:rsidRPr="009E4745" w:rsidRDefault="0003659B" w:rsidP="0003659B">
      <w:pPr>
        <w:rPr>
          <w:bCs/>
        </w:rPr>
      </w:pPr>
      <w:r w:rsidRPr="009E4745">
        <w:rPr>
          <w:b/>
        </w:rPr>
        <w:t>Содержание программы</w:t>
      </w:r>
      <w:r w:rsidRPr="009E4745">
        <w:t xml:space="preserve"> представлено следующими разделами: собственно содержание курса математики в начальной школе, </w:t>
      </w:r>
      <w:r w:rsidRPr="009E4745">
        <w:rPr>
          <w:bCs/>
        </w:rPr>
        <w:t xml:space="preserve">распределение учебного материала, распределение количества контрольных, диагностических и  проверочных работ, </w:t>
      </w:r>
      <w:r w:rsidRPr="009E4745">
        <w:t xml:space="preserve"> планируемые результаты освоения программ, тематическое планирование,  </w:t>
      </w:r>
      <w:r w:rsidRPr="009E4745">
        <w:rPr>
          <w:bCs/>
        </w:rPr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121CDB" w:rsidRDefault="00121CDB"/>
    <w:sectPr w:rsidR="00121CDB" w:rsidSect="0003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971"/>
    <w:multiLevelType w:val="hybridMultilevel"/>
    <w:tmpl w:val="945283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B50D1"/>
    <w:multiLevelType w:val="hybridMultilevel"/>
    <w:tmpl w:val="F23CAB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113"/>
    <w:rsid w:val="0003659B"/>
    <w:rsid w:val="000C0FFB"/>
    <w:rsid w:val="00121CDB"/>
    <w:rsid w:val="002158D3"/>
    <w:rsid w:val="003A7716"/>
    <w:rsid w:val="00E970A6"/>
    <w:rsid w:val="00E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65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2017-11-04T12:14:00Z</dcterms:created>
  <dcterms:modified xsi:type="dcterms:W3CDTF">2017-11-04T12:14:00Z</dcterms:modified>
</cp:coreProperties>
</file>